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240" w:line="240" w:lineRule="auto"/>
        <w:rPr>
          <w:rFonts w:ascii="Liberation Serif" w:hAnsi="Liberation Serif" w:eastAsia="Times New Roman" w:cs="Liberation Serif"/>
          <w:b/>
          <w:bCs/>
          <w:lang w:eastAsia="ru-RU"/>
        </w:rPr>
      </w:pPr>
      <w:r>
        <w:rPr>
          <w:rFonts w:ascii="Liberation Serif" w:hAnsi="Liberation Serif" w:eastAsia="Times New Roman" w:cs="Liberation Serif"/>
          <w:b/>
          <w:bCs/>
          <w:lang w:eastAsia="ru-RU"/>
        </w:rPr>
      </w:r>
      <w:r>
        <w:rPr>
          <w:rFonts w:ascii="Liberation Serif" w:hAnsi="Liberation Serif" w:eastAsia="Times New Roman" w:cs="Liberation Serif"/>
          <w:b/>
          <w:bCs/>
          <w:lang w:eastAsia="ru-RU"/>
        </w:rPr>
      </w:r>
    </w:p>
    <w:p>
      <w:pPr>
        <w:jc w:val="center"/>
        <w:spacing w:after="240" w:line="240" w:lineRule="auto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bCs/>
          <w:sz w:val="24"/>
          <w:szCs w:val="24"/>
          <w:lang w:eastAsia="ru-RU"/>
        </w:rPr>
        <w:t xml:space="preserve">ТЕХНИЧЕСКОЕ ЗАДАНИЕ</w:t>
      </w:r>
      <w:r>
        <w:rPr>
          <w:rFonts w:ascii="Liberation Serif" w:hAnsi="Liberation Serif" w:cs="Liberation Serif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на приобретение 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lang w:eastAsia="ru-RU"/>
        </w:rPr>
        <w:t xml:space="preserve">легковых автомобилей малого класса (7 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lang w:eastAsia="ru-RU"/>
        </w:rPr>
        <w:t xml:space="preserve">шт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lang w:eastAsia="ru-RU"/>
        </w:rPr>
        <w:t xml:space="preserve">)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0"/>
          <w:numId w:val="6"/>
        </w:numPr>
        <w:ind w:left="0" w:firstLine="709"/>
        <w:jc w:val="center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КРАТКОЕ ОПИСАНИЕ ЗАКУПАЕМЫХ ТОВАРОВ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pStyle w:val="912"/>
        <w:ind w:left="0"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3"/>
          <w:numId w:val="6"/>
        </w:numPr>
        <w:ind w:left="0" w:firstLine="709"/>
        <w:jc w:val="both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Наименование и объем закупаемых товаров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Наименование и объем закупаемой продукции приведен в спецификации (Приложение №1). 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3"/>
          <w:numId w:val="6"/>
        </w:numPr>
        <w:ind w:left="0" w:firstLine="709"/>
        <w:jc w:val="both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Сроки поставки товара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ind w:firstLine="709"/>
        <w:jc w:val="both"/>
        <w:keepLines/>
        <w:keepNext/>
        <w:spacing w:after="0" w:line="240" w:lineRule="auto"/>
        <w:rPr>
          <w:rFonts w:ascii="Liberation Serif" w:hAnsi="Liberation Serif" w:cs="Liberation Serif"/>
          <w:b/>
          <w:bCs/>
          <w:sz w:val="24"/>
          <w:szCs w:val="24"/>
          <w:highlight w:val="yellow"/>
        </w:rPr>
        <w:outlineLvl w:val="0"/>
      </w:pP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 – </w:t>
      </w:r>
      <w:r>
        <w:rPr>
          <w:rFonts w:ascii="Liberation Serif" w:hAnsi="Liberation Serif" w:cs="Liberation Serif" w:eastAsiaTheme="minorEastAsia"/>
          <w:sz w:val="24"/>
          <w:szCs w:val="24"/>
        </w:rPr>
        <w:t xml:space="preserve">Продукция должна быть поставлена Заказчику в сроки, указанные в спецификации (Приложение № 1 к ТЗ </w:t>
      </w:r>
      <w:bookmarkStart w:id="0" w:name="_Hlk140745152"/>
      <w:r>
        <w:rPr>
          <w:rFonts w:ascii="Liberation Serif" w:hAnsi="Liberation Serif" w:cs="Liberation Serif" w:eastAsiaTheme="minorEastAsia"/>
          <w:sz w:val="24"/>
          <w:szCs w:val="24"/>
        </w:rPr>
        <w:t xml:space="preserve">в формате </w:t>
      </w:r>
      <w:r>
        <w:rPr>
          <w:rFonts w:ascii="Liberation Serif" w:hAnsi="Liberation Serif" w:cs="Liberation Serif" w:eastAsiaTheme="minorEastAsia"/>
          <w:sz w:val="24"/>
          <w:szCs w:val="24"/>
          <w:lang w:val="en-US"/>
        </w:rPr>
        <w:t xml:space="preserve">ex</w:t>
      </w:r>
      <w:r>
        <w:rPr>
          <w:rFonts w:ascii="Liberation Serif" w:hAnsi="Liberation Serif" w:cs="Liberation Serif" w:eastAsiaTheme="minorEastAsia"/>
          <w:sz w:val="24"/>
          <w:szCs w:val="24"/>
        </w:rPr>
        <w:t xml:space="preserve">с</w:t>
      </w:r>
      <w:r>
        <w:rPr>
          <w:rFonts w:ascii="Liberation Serif" w:hAnsi="Liberation Serif" w:cs="Liberation Serif" w:eastAsiaTheme="minorEastAsia"/>
          <w:sz w:val="24"/>
          <w:szCs w:val="24"/>
          <w:lang w:val="en-US"/>
        </w:rPr>
        <w:t xml:space="preserve">el</w:t>
      </w:r>
      <w:bookmarkEnd w:id="0"/>
      <w:r>
        <w:rPr>
          <w:rFonts w:ascii="Liberation Serif" w:hAnsi="Liberation Serif" w:cs="Liberation Serif" w:eastAsiaTheme="minorEastAsia"/>
          <w:sz w:val="24"/>
          <w:szCs w:val="24"/>
        </w:rPr>
        <w:t xml:space="preserve">)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.</w:t>
      </w:r>
      <w:r>
        <w:rPr>
          <w:rFonts w:ascii="Liberation Serif" w:hAnsi="Liberation Serif" w:cs="Liberation Serif"/>
          <w:b/>
          <w:bCs/>
          <w:sz w:val="24"/>
          <w:szCs w:val="24"/>
          <w:highlight w:val="yellow"/>
        </w:rPr>
      </w:r>
    </w:p>
    <w:p>
      <w:pPr>
        <w:pStyle w:val="912"/>
        <w:numPr>
          <w:ilvl w:val="3"/>
          <w:numId w:val="6"/>
        </w:numPr>
        <w:ind w:left="0" w:firstLine="709"/>
        <w:jc w:val="both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Возможность поставки эквивалентных товаров 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ind w:firstLine="426"/>
        <w:jc w:val="both"/>
        <w:spacing w:after="0" w:line="240" w:lineRule="auto"/>
        <w:rPr>
          <w:rFonts w:ascii="Liberation Serif" w:hAnsi="Liberation Serif" w:cs="Liberation Serif" w:eastAsiaTheme="minorEastAsia"/>
          <w:sz w:val="24"/>
          <w:szCs w:val="24"/>
        </w:rPr>
      </w:pPr>
      <w:r>
        <w:rPr>
          <w:rFonts w:ascii="Liberation Serif" w:hAnsi="Liberation Serif" w:cs="Liberation Serif" w:eastAsiaTheme="minorEastAsia"/>
          <w:sz w:val="24"/>
          <w:szCs w:val="24"/>
        </w:rPr>
        <w:t xml:space="preserve">Применение эквивалента возможно при условии соответствия товара по функциональным, техническим характеристикам и условиям применения не ниже/хуже требуемых в Техническом задании, а также при предоставлении участником закупки развернутого сравнения по функц</w:t>
      </w:r>
      <w:r>
        <w:rPr>
          <w:rFonts w:ascii="Liberation Serif" w:hAnsi="Liberation Serif" w:cs="Liberation Serif" w:eastAsiaTheme="minorEastAsia"/>
          <w:sz w:val="24"/>
          <w:szCs w:val="24"/>
        </w:rPr>
        <w:t xml:space="preserve">иональным, техническим характеристикам и условиям применения. Также характеристики предлагаемого эквивалента, должны полностью соответствовать или улучшать требования, указанные в п. 2.2. данного ТЗ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 w:eastAsiaTheme="minorEastAsia"/>
          <w:sz w:val="24"/>
          <w:szCs w:val="24"/>
        </w:rPr>
        <w:t xml:space="preserve">и Приложений №1, к ТЗ.</w:t>
      </w:r>
      <w:r>
        <w:rPr>
          <w:rFonts w:ascii="Liberation Serif" w:hAnsi="Liberation Serif" w:cs="Liberation Serif" w:eastAsiaTheme="minorEastAsia"/>
          <w:sz w:val="24"/>
          <w:szCs w:val="24"/>
        </w:rPr>
      </w:r>
    </w:p>
    <w:p>
      <w:pPr>
        <w:pStyle w:val="912"/>
        <w:numPr>
          <w:ilvl w:val="0"/>
          <w:numId w:val="6"/>
        </w:numPr>
        <w:ind w:left="0" w:firstLine="709"/>
        <w:jc w:val="center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ОБЩИЕ ТРЕБОВАНИЯ К ТОВАРУ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ind w:left="709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1"/>
          <w:numId w:val="38"/>
        </w:numPr>
        <w:jc w:val="both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Место применения, использования товара: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 w:eastAsiaTheme="minorEastAsia"/>
          <w:sz w:val="24"/>
          <w:szCs w:val="24"/>
        </w:rPr>
        <w:t xml:space="preserve">Для нужд ПАО «Саратовэнерго» г. Саратов и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Саратовская область.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1"/>
          <w:numId w:val="38"/>
        </w:numPr>
        <w:jc w:val="both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Требования к товару: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pStyle w:val="912"/>
        <w:numPr>
          <w:ilvl w:val="0"/>
          <w:numId w:val="24"/>
        </w:numPr>
        <w:ind w:left="0" w:firstLine="709"/>
        <w:jc w:val="both"/>
        <w:spacing w:after="0" w:line="240" w:lineRule="auto"/>
        <w:shd w:val="clear" w:color="auto" w:fill="ffffff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 w:eastAsiaTheme="minorEastAsia"/>
          <w:sz w:val="24"/>
          <w:szCs w:val="24"/>
        </w:rPr>
        <w:t xml:space="preserve">Поставляемый товар должен соответствовать Техническим характеристикам Товара, указанным в Приложении № 2 к настоящему Техническому заданию или улучшать их.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0"/>
          <w:numId w:val="24"/>
        </w:numPr>
        <w:ind w:left="0" w:firstLine="709"/>
        <w:jc w:val="both"/>
        <w:spacing w:after="0" w:line="240" w:lineRule="auto"/>
        <w:shd w:val="clear" w:color="auto" w:fill="ffffff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  <w:lang w:eastAsia="ru-RU"/>
        </w:rPr>
        <w:t xml:space="preserve">Качество и комплектность поставляемого товара должны соот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lang w:eastAsia="ru-RU"/>
        </w:rPr>
        <w:t xml:space="preserve">ветствовать стандартам, техническим условиям, сертификату завода-изготовителя, стандартным и иным требованиям, установленным действующим законодательством РФ;</w:t>
      </w:r>
      <w:r>
        <w:rPr>
          <w:rFonts w:ascii="Liberation Serif" w:hAnsi="Liberation Serif" w:cs="Liberation Serif"/>
          <w:color w:val="000000"/>
          <w:sz w:val="24"/>
          <w:szCs w:val="24"/>
        </w:rPr>
      </w:r>
    </w:p>
    <w:p>
      <w:pPr>
        <w:pStyle w:val="912"/>
        <w:numPr>
          <w:ilvl w:val="0"/>
          <w:numId w:val="24"/>
        </w:numPr>
        <w:ind w:left="0" w:firstLine="709"/>
        <w:jc w:val="both"/>
        <w:spacing w:after="0" w:line="240" w:lineRule="auto"/>
        <w:shd w:val="clear" w:color="auto" w:fill="ffffff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  <w:lang w:eastAsia="ru-RU"/>
        </w:rPr>
        <w:t xml:space="preserve">Товар должен быть 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u w:val="single"/>
          <w:lang w:eastAsia="ru-RU"/>
        </w:rPr>
        <w:t xml:space="preserve">новым и ранее неиспользованным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lang w:eastAsia="ru-RU"/>
        </w:rPr>
        <w:t xml:space="preserve">, год выпуска - не ранее 2026 года;</w:t>
      </w:r>
      <w:r>
        <w:rPr>
          <w:rFonts w:ascii="Liberation Serif" w:hAnsi="Liberation Serif" w:cs="Liberation Serif"/>
          <w:color w:val="000000"/>
          <w:sz w:val="24"/>
          <w:szCs w:val="24"/>
        </w:rPr>
      </w:r>
    </w:p>
    <w:p>
      <w:pPr>
        <w:pStyle w:val="912"/>
        <w:numPr>
          <w:ilvl w:val="0"/>
          <w:numId w:val="24"/>
        </w:numPr>
        <w:ind w:left="0"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  <w:outlineLvl w:val="0"/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Товар должен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быть укомплектован запасными частями, инструментами и соответствующими принадлежностями согласно описи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ЗиП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завода-изготовителя.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0"/>
          <w:numId w:val="24"/>
        </w:numPr>
        <w:ind w:left="0" w:firstLine="709"/>
        <w:jc w:val="both"/>
        <w:spacing w:after="0" w:line="240" w:lineRule="auto"/>
        <w:shd w:val="clear" w:color="auto" w:fill="ffffff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Товар должен быть технически исправен, не должен иметь дефектов и механических повреждений, 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0"/>
          <w:numId w:val="24"/>
        </w:numPr>
        <w:contextualSpacing w:val="0"/>
        <w:ind w:left="0"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  <w:outlineLvl w:val="0"/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Поставляемый товар не должен ранее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быть в ремонте, не должен содержать восстановленных составных частей. 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0"/>
          <w:numId w:val="24"/>
        </w:numPr>
        <w:ind w:left="0"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  <w:outlineLvl w:val="0"/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Товар должен пройти предпродажное сервисное обслуживание в соответствии с перечнем работ по предпродажной подготовке, указанным в сервисной книжке.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0"/>
          <w:numId w:val="24"/>
        </w:numPr>
        <w:ind w:left="0"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  <w:outlineLvl w:val="0"/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Товар должен быть свободен от прав тр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етьих лиц, не должен находиться в залоге, под арестом или другим обременением.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0"/>
          <w:numId w:val="24"/>
        </w:numPr>
        <w:ind w:left="0"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  <w:outlineLvl w:val="0"/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Автомобиль должен быть новым, не бывшим в эксплуатации, без повреждений, сколов, царапин, вмятин, потеков краски и подобных отличительных недостатках, не должен иметь скрытых де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фектов. Автомобиль должен быть полностью технически исправен, укомплектован согласно комплектации завода-изготовителя и оборудован дополнительным оборудованием (согласно описанию в техническом задании). Автомобиль поставляется готовым к эксплуатации, в пол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ной комплектации, указанной в техническом задании и не требующей дополнительной установки, наладки, сборки элементов кузова и агрегатов и т.д. Качество поставляемого Товара должно соответствовать требованиям действующих на территории Российской Федерации г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осударственных и международных стандартов, условиям контракта. Товар должен быть готов к эксплуатации (заправлен всеми необходимыми техническими жидкостями, АКБ полностью заряжена, все узлы и агрегаты должны находиться в исправном (новом) состоянии).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0"/>
          <w:numId w:val="24"/>
        </w:numPr>
        <w:ind w:left="0" w:firstLine="709"/>
        <w:jc w:val="both"/>
        <w:spacing w:after="0" w:line="240" w:lineRule="auto"/>
        <w:rPr>
          <w:rFonts w:ascii="Liberation Serif" w:hAnsi="Liberation Serif" w:cs="Liberation Serif"/>
          <w:b/>
          <w:sz w:val="24"/>
          <w:szCs w:val="24"/>
          <w:rPrChange w:id="0" w:author="Соловьев Олег Юрьевич" w:date="2026-05-20T11:21:00Z">
            <w:rPr>
              <w:rFonts w:ascii="Liberation Serif" w:hAnsi="Liberation Serif" w:cs="Liberation Serif"/>
              <w:sz w:val="24"/>
              <w:szCs w:val="24"/>
            </w:rPr>
          </w:rPrChange>
        </w:rPr>
        <w:outlineLvl w:val="0"/>
      </w:pP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Участник в составе заявки должен предоставить заполненный Опросный лист согласно приложения № 2 к ТЗ</w:t>
      </w: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.</w:t>
      </w:r>
      <w:bookmarkStart w:id="11" w:name="_GoBack"/>
      <w:r/>
      <w:bookmarkEnd w:id="11"/>
      <w:r/>
      <w:r>
        <w:rPr>
          <w:rFonts w:ascii="Liberation Serif" w:hAnsi="Liberation Serif" w:cs="Liberation Serif"/>
          <w:b/>
          <w:sz w:val="24"/>
          <w:szCs w:val="24"/>
          <w:rPrChange w:id="1" w:author="Соловьев Олег Юрьевич" w:date="2026-05-20T11:21:00Z">
            <w:rPr>
              <w:rFonts w:ascii="Liberation Serif" w:hAnsi="Liberation Serif" w:cs="Liberation Serif"/>
              <w:sz w:val="24"/>
              <w:szCs w:val="24"/>
            </w:rPr>
          </w:rPrChange>
        </w:rPr>
      </w:r>
    </w:p>
    <w:p>
      <w:pPr>
        <w:pStyle w:val="912"/>
        <w:numPr>
          <w:ilvl w:val="0"/>
          <w:numId w:val="24"/>
        </w:numPr>
        <w:ind w:left="0" w:firstLine="709"/>
        <w:jc w:val="both"/>
        <w:spacing w:after="0" w:line="240" w:lineRule="auto"/>
        <w:rPr>
          <w:rFonts w:ascii="Liberation Serif" w:hAnsi="Liberation Serif" w:cs="Liberation Serif"/>
          <w:b/>
          <w:i/>
          <w:sz w:val="24"/>
          <w:szCs w:val="24"/>
        </w:rPr>
        <w:outlineLvl w:val="0"/>
      </w:pPr>
      <w:r>
        <w:rPr>
          <w:rFonts w:ascii="Liberation Serif" w:hAnsi="Liberation Serif" w:eastAsia="Liberation Serif" w:cs="Liberation Serif"/>
          <w:b/>
          <w:i/>
          <w:sz w:val="24"/>
          <w:szCs w:val="24"/>
          <w:u w:val="single"/>
        </w:rPr>
        <w:t xml:space="preserve">Оснащен дополнительным оборудование: ковры салона, ковер багажника, сигнализация с автозапуском и обратной связью, тонировка задней полусферы 5%, зимняя резина </w:t>
      </w:r>
      <w:r>
        <w:rPr>
          <w:rFonts w:ascii="Liberation Serif" w:hAnsi="Liberation Serif" w:eastAsia="Liberation Serif" w:cs="Liberation Serif"/>
          <w:b/>
          <w:i/>
          <w:sz w:val="24"/>
          <w:szCs w:val="24"/>
          <w:u w:val="single"/>
          <w:lang w:val="en-US"/>
        </w:rPr>
        <w:t xml:space="preserve">R</w:t>
      </w:r>
      <w:r>
        <w:rPr>
          <w:rFonts w:ascii="Liberation Serif" w:hAnsi="Liberation Serif" w:eastAsia="Liberation Serif" w:cs="Liberation Serif"/>
          <w:b/>
          <w:i/>
          <w:sz w:val="24"/>
          <w:szCs w:val="24"/>
          <w:u w:val="single"/>
        </w:rPr>
        <w:t xml:space="preserve">15- 4шт, литые диски для зимней резины 4 </w:t>
      </w:r>
      <w:r>
        <w:rPr>
          <w:rFonts w:ascii="Liberation Serif" w:hAnsi="Liberation Serif" w:eastAsia="Liberation Serif" w:cs="Liberation Serif"/>
          <w:b/>
          <w:i/>
          <w:sz w:val="24"/>
          <w:szCs w:val="24"/>
          <w:u w:val="single"/>
        </w:rPr>
        <w:t xml:space="preserve">шт</w:t>
      </w:r>
      <w:r>
        <w:rPr>
          <w:rFonts w:ascii="Liberation Serif" w:hAnsi="Liberation Serif" w:eastAsia="Liberation Serif" w:cs="Liberation Serif"/>
          <w:b/>
          <w:i/>
          <w:sz w:val="24"/>
          <w:szCs w:val="24"/>
          <w:u w:val="single"/>
        </w:rPr>
        <w:t xml:space="preserve"> – </w:t>
      </w:r>
      <w:r>
        <w:rPr>
          <w:rFonts w:ascii="Liberation Serif" w:hAnsi="Liberation Serif" w:eastAsia="Liberation Serif" w:cs="Liberation Serif"/>
          <w:b/>
          <w:i/>
          <w:sz w:val="24"/>
          <w:szCs w:val="24"/>
          <w:u w:val="single"/>
          <w:lang w:val="en-US"/>
        </w:rPr>
        <w:t xml:space="preserve">R</w:t>
      </w:r>
      <w:r>
        <w:rPr>
          <w:rFonts w:ascii="Liberation Serif" w:hAnsi="Liberation Serif" w:eastAsia="Liberation Serif" w:cs="Liberation Serif"/>
          <w:b/>
          <w:i/>
          <w:sz w:val="24"/>
          <w:szCs w:val="24"/>
          <w:u w:val="single"/>
        </w:rPr>
        <w:t xml:space="preserve">15, Антикоррозийная обработка днища и колесных а</w:t>
      </w:r>
      <w:r>
        <w:rPr>
          <w:rFonts w:ascii="Liberation Serif" w:hAnsi="Liberation Serif" w:eastAsia="Liberation Serif" w:cs="Liberation Serif"/>
          <w:b/>
          <w:i/>
          <w:sz w:val="24"/>
          <w:szCs w:val="24"/>
          <w:u w:val="single"/>
        </w:rPr>
        <w:t xml:space="preserve">рок, Защита картера, поперечные </w:t>
      </w:r>
      <w:r>
        <w:rPr>
          <w:rFonts w:ascii="Liberation Serif" w:hAnsi="Liberation Serif" w:eastAsia="Liberation Serif" w:cs="Liberation Serif"/>
          <w:b/>
          <w:i/>
          <w:sz w:val="24"/>
          <w:szCs w:val="24"/>
          <w:u w:val="single"/>
        </w:rPr>
        <w:t xml:space="preserve">рейлинги</w:t>
      </w:r>
      <w:r>
        <w:rPr>
          <w:rFonts w:ascii="Liberation Serif" w:hAnsi="Liberation Serif" w:eastAsia="Liberation Serif" w:cs="Liberation Serif"/>
          <w:b/>
          <w:i/>
          <w:sz w:val="24"/>
          <w:szCs w:val="24"/>
          <w:u w:val="single"/>
        </w:rPr>
        <w:t xml:space="preserve">, бензин в баке не менее 20 литров.</w:t>
      </w:r>
      <w:r>
        <w:rPr>
          <w:rFonts w:ascii="Liberation Serif" w:hAnsi="Liberation Serif" w:cs="Liberation Serif"/>
          <w:b/>
          <w:i/>
          <w:sz w:val="24"/>
          <w:szCs w:val="24"/>
        </w:rPr>
      </w:r>
    </w:p>
    <w:p>
      <w:pPr>
        <w:pStyle w:val="912"/>
        <w:numPr>
          <w:ilvl w:val="1"/>
          <w:numId w:val="38"/>
        </w:numPr>
        <w:jc w:val="both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Требования о соответствии товаров обязательным требованиям законодательства о техническом регулировании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  <w:outlineLvl w:val="0"/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При поставке товара Поставщик должен предоставить сертификат «Одобрение типа транспортного средства» соответствующий требованиям Технического регламента Таможенного союза «О безопасности колесных транспортных средств» (ТР ТС 018/2011).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1"/>
          <w:numId w:val="38"/>
        </w:numPr>
        <w:jc w:val="both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 Требования о добров</w:t>
      </w: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ольной сертификации товаров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pStyle w:val="912"/>
        <w:contextualSpacing w:val="0"/>
        <w:ind w:left="0"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  <w:outlineLvl w:val="0"/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Не требуется.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1"/>
          <w:numId w:val="38"/>
        </w:numPr>
        <w:jc w:val="both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 w:eastAsiaTheme="minorEastAsia"/>
          <w:sz w:val="24"/>
          <w:szCs w:val="24"/>
        </w:rPr>
        <w:t xml:space="preserve"> </w:t>
      </w: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Требования к гарантийному сроку и (или) объёму предоставления гарантий качества на поставляемый товар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pStyle w:val="912"/>
        <w:contextualSpacing w:val="0"/>
        <w:ind w:left="0"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  <w:outlineLvl w:val="0"/>
      </w:pPr>
      <w:r/>
      <w:bookmarkStart w:id="12" w:name="_Hlk138259235"/>
      <w:r>
        <w:rPr>
          <w:rFonts w:ascii="Liberation Serif" w:hAnsi="Liberation Serif" w:eastAsia="Liberation Serif" w:cs="Liberation Serif"/>
          <w:sz w:val="24"/>
          <w:szCs w:val="24"/>
        </w:rPr>
        <w:t xml:space="preserve">Гарантийный срок на новые автомобили установлен изготовителем и составляет: 36 месяцев или до достижения 100 00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0 км пробега. Гарантийный срок исчисляется с даты подписания сторонами акта приема-передачи товара. </w:t>
      </w:r>
      <w:bookmarkEnd w:id="12"/>
      <w:r>
        <w:rPr>
          <w:rFonts w:ascii="Liberation Serif" w:hAnsi="Liberation Serif" w:eastAsia="Liberation Serif" w:cs="Liberation Serif"/>
          <w:sz w:val="24"/>
          <w:szCs w:val="24"/>
        </w:rPr>
        <w:t xml:space="preserve">Гарантия качества товара распространяется на все части (комплектующие) изделия. Участник закупки в техническом предложения должен предоставить согласие с вы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шеуказанными гарантийными обязательствами.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Поставщик должен обеспечить устранение недостатков и дефектов поставленного товара, а также неисправности товара, возникшие при эксплуатации не по вине Покупателя, в течение гарантийного срока за свой счет и в сог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ласованные с Покупателем сроки.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1"/>
          <w:numId w:val="38"/>
        </w:numPr>
        <w:jc w:val="both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Требования по осуществлению сопутствующих работ при поставке товаров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pStyle w:val="912"/>
        <w:ind w:left="0"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 w:eastAsiaTheme="minorEastAsia"/>
          <w:sz w:val="24"/>
          <w:szCs w:val="24"/>
        </w:rPr>
        <w:t xml:space="preserve">Доставка, погрузка, разгрузка должна осуществляться силами поставщика и за его счет.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 w:eastAsiaTheme="minorEastAsia"/>
          <w:sz w:val="24"/>
          <w:szCs w:val="24"/>
        </w:rPr>
        <w:t xml:space="preserve">Поставщик должен обеспечить предпродажную подготовку поставляемых авто</w:t>
      </w:r>
      <w:r>
        <w:rPr>
          <w:rFonts w:ascii="Liberation Serif" w:hAnsi="Liberation Serif" w:cs="Liberation Serif" w:eastAsiaTheme="minorEastAsia"/>
          <w:sz w:val="24"/>
          <w:szCs w:val="24"/>
        </w:rPr>
        <w:t xml:space="preserve">мобилей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ind w:left="0"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0"/>
          <w:numId w:val="6"/>
        </w:numPr>
        <w:ind w:left="0" w:firstLine="709"/>
        <w:jc w:val="center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ТРЕБОВАНИЯ К ВЫПОЛНЕНИЮ ПОСТАВКИ ТОВАРОВ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pStyle w:val="912"/>
        <w:ind w:left="709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pStyle w:val="912"/>
        <w:numPr>
          <w:ilvl w:val="3"/>
          <w:numId w:val="8"/>
        </w:numPr>
        <w:ind w:left="0" w:firstLine="709"/>
        <w:jc w:val="both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Требования к отгрузке и доставке приобретаемых товаров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Погрузка товара, его доставка до места нахождения заказчика и разгрузка, осуществляться силами поставщика. Затраты на погрузочно-разгрузочные работы и доставку товара участник закупки учитывает в цене своего предложения. Участник закупки включает в цену св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оего предложения расходы, связанные со страхованием, с уплатой таможенных пошлин, налогов, сборов, и других обязательных платежей. Поставщик осуществляет поставку товара путем передачи его в месте нахождения Покупателя, 410002, Саратовская область, г. Сара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тов, ул. им. Мичурина И.В., д.166/168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3"/>
          <w:numId w:val="8"/>
        </w:numPr>
        <w:ind w:left="0" w:firstLine="709"/>
        <w:jc w:val="both"/>
        <w:spacing w:after="0" w:line="240" w:lineRule="auto"/>
        <w:rPr>
          <w:rStyle w:val="939"/>
          <w:rFonts w:ascii="Liberation Serif" w:hAnsi="Liberation Serif" w:cs="Liberation Serif"/>
          <w:sz w:val="24"/>
          <w:szCs w:val="24"/>
        </w:rPr>
      </w:pPr>
      <w:r>
        <w:rPr>
          <w:rStyle w:val="939"/>
          <w:rFonts w:ascii="Liberation Serif" w:hAnsi="Liberation Serif" w:eastAsia="Liberation Serif" w:cs="Liberation Serif"/>
          <w:sz w:val="24"/>
          <w:szCs w:val="24"/>
        </w:rPr>
        <w:t xml:space="preserve">Требования к таре и упаковке приобретаемых товаров</w:t>
      </w:r>
      <w:r>
        <w:rPr>
          <w:rStyle w:val="939"/>
          <w:rFonts w:ascii="Liberation Serif" w:hAnsi="Liberation Serif" w:cs="Liberation Serif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Поставщик должен подготовить Автомобили к отправке в соответствующей виду транспортировке таре и упаковке, которые исключают повреждение товаров при перевозке, принима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я во внимание возможные перегрузки, интенсивную подъемно-транспортную обработку, воздействие экстремальных температур, соли и осадков, открытое хранение, и обеспечивает ее полную сохранность до получения Покупателем. Тара, упаковка и маркировка должны соот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ветствовать требованиям, установленным нормам действующего законодательства Российской Федерации для данного вида продукции или общепринятым требованиям. Поставщик несет ответственность за возможные повреждение автомобилей, вызванные ненадлежащей тарой, уп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аковкой и транспортировкой.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3"/>
          <w:numId w:val="8"/>
        </w:numPr>
        <w:ind w:left="0" w:firstLine="709"/>
        <w:jc w:val="both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Требования к приемке товаров 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Приемка товара осуществляется в рабочее время заказчика: пн.-пт. с 8.00ч. до 16.00ч 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Поставщик при передаче товара Покупателю обязан передать 2 комплекта ключей зажигания и следующие документы: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numPr>
          <w:ilvl w:val="0"/>
          <w:numId w:val="18"/>
        </w:numPr>
        <w:ind w:left="0"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Паспорт транспортного средства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или выписка из электронного ПТС;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numPr>
          <w:ilvl w:val="0"/>
          <w:numId w:val="18"/>
        </w:numPr>
        <w:ind w:left="0"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Руководство по эксплуатации на русском языке;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numPr>
          <w:ilvl w:val="0"/>
          <w:numId w:val="18"/>
        </w:numPr>
        <w:ind w:left="0"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Сервисную книжку с гарантийным талоном, с отметкой о проведенной предпродажной подготовке;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numPr>
          <w:ilvl w:val="0"/>
          <w:numId w:val="18"/>
        </w:numPr>
        <w:ind w:left="0"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Сертификат качества завода-изготовителя или документ, е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го заменяющий;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numPr>
          <w:ilvl w:val="0"/>
          <w:numId w:val="18"/>
        </w:numPr>
        <w:ind w:left="0"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Акт приема-передачи товара;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numPr>
          <w:ilvl w:val="0"/>
          <w:numId w:val="18"/>
        </w:numPr>
        <w:ind w:left="0"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Счет-фактуру, товарную накладную;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numPr>
          <w:ilvl w:val="0"/>
          <w:numId w:val="18"/>
        </w:numPr>
        <w:ind w:left="0"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Копию Одобрения типа транспортного средства системы сертификации ГОСТ Р;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numPr>
          <w:ilvl w:val="0"/>
          <w:numId w:val="18"/>
        </w:numPr>
        <w:ind w:left="0"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Опись ЗИП товара, листок комплектации.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Поставщик должен обеспечить присутствие уполномоченного представите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ля при проведении приемки поставляемых автомобилей.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При приемке выполняются следующие виды работ: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– проверка соответствия номерных данных автомобилей данным, записанным в техническом паспорте;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– контрольный осмотр автомобилей;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Контрольный осмотр при приемк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е автомобилей предусматривает: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– осмотр автомобилей в соответствии с заявленными владельцем видами работ;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– осмотр с целью определения общего технического состояния автомобилей;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– проверка комплектности автомобилей.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Контрольный осмотр с целью определения общего технического состояния автомобилей в обязательном порядке включает проверку агрегатов, узлов и систем, влияющих на безопасность дорожного движения, а также дополнительные работы по другим узлам и агрегатам.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Осм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отром и опробованием проверяются узлы, агрегаты и систем, влияющие на безопасность движения: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– герметичность систем питания, смазки, охлаждения, привода тормозов и сцепления;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– действие приборов освещения;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– техническое состояние колес и шин (наличие трещи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н и вмятин дисков колес, разрывов и вздутий шин);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– отсутствие механических повреждений и люфтов в шарнирных соединениях рулевого механизма и его привода, рулевых тяг, рычагов и пружин (рессор), подвесок;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– исправность тормозов: ручного (по количеству щелч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ков фиксирующего механизма) и рабочего (по отсутствию провала педали тормоза), а также отсутствие механических повреждений трубопроводов и шлангов тормозной системы;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– техническое состояние стекол;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– исправность замков дверей, ремней безопасности, регулиру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ющих устройств сидений, зеркал заднего вида;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– действие стеклоочистителей ветрового стекла и фар, действие 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омывателей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 ветрового стекла, фар, обогревателя и стеклоочистителя заднего стекла;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– уровень жидкости в бачках тормозной системы сцепления;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Дополнител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ьные работы по определению технического состояния: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– проверка кузова: наличие царапин, трещин, вмятин, вспучивание краски; наличие дефектов обивки салона и сидений;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– проверка двигателя: устойчивость работы на разных режимах, наличие посторонних стуков и ш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умов;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– проверка аккумуляторной батареи: наличие трещин, подтеканий;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– проверка коробки передач, ведущего моста, раздаточной коробки, карданного вала, приводных валов; наличие механических повреждений картеров, потери герметичности уплотнений.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Приемка товара осуществляется Покупателем совместно с представителями Поставщика с целью проверки соответствия настоящему техническому заданию. Если при приемке поставленного товара будут выявлены некомплектность, неисправности, дефекты при эксплуатации ил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и иное несоответствие товара спецификации, то товар, по усмотрению Покупателя, подлежит возврату и замене на товар, соответствующий требованиям договора.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3"/>
          <w:numId w:val="8"/>
        </w:numPr>
        <w:ind w:left="0" w:firstLine="709"/>
        <w:jc w:val="both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Требования к передаваемой заказчику документации по оценке соответствия требованиям безопасности и кач</w:t>
      </w: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ественным показателям товаров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С товаром поставляются и передаются Заказчику в полном объеме технические паспорта и иная необходимая для эксплуатации, ремонта и технического обслуживания документация на русском языке на бумажном носителе.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0"/>
          <w:numId w:val="40"/>
        </w:numPr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Техническая документация, прилагаемая к товару, должна включать в себя, но не ограничиваться: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0"/>
          <w:numId w:val="40"/>
        </w:numPr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Паспорт транспортного средства </w:t>
      </w:r>
      <w:bookmarkStart w:id="13" w:name="_Hlk169520523"/>
      <w:r>
        <w:rPr>
          <w:rFonts w:ascii="Liberation Serif" w:hAnsi="Liberation Serif" w:eastAsia="Liberation Serif" w:cs="Liberation Serif"/>
          <w:sz w:val="24"/>
          <w:szCs w:val="24"/>
        </w:rPr>
        <w:t xml:space="preserve">или выписка из электронного ПТС</w:t>
      </w:r>
      <w:bookmarkEnd w:id="13"/>
      <w:r>
        <w:rPr>
          <w:rFonts w:ascii="Liberation Serif" w:hAnsi="Liberation Serif" w:eastAsia="Liberation Serif" w:cs="Liberation Serif"/>
          <w:sz w:val="24"/>
          <w:szCs w:val="24"/>
        </w:rPr>
        <w:t xml:space="preserve">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0"/>
          <w:numId w:val="40"/>
        </w:numPr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Акт приема передачи транспортного средства;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0"/>
          <w:numId w:val="40"/>
        </w:numPr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Руководство (инструкция) по эксплуатации;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0"/>
          <w:numId w:val="40"/>
        </w:numPr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Сервисная кн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ижка</w:t>
      </w:r>
      <w:r>
        <w:rPr>
          <w:rFonts w:ascii="Liberation Serif" w:hAnsi="Liberation Serif" w:cs="Liberation Serif" w:eastAsiaTheme="minorEastAsia"/>
          <w:sz w:val="24"/>
          <w:szCs w:val="24"/>
        </w:rPr>
        <w:t xml:space="preserve">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 xml:space="preserve">3.5</w:t>
      </w:r>
      <w:r>
        <w:rPr>
          <w:rFonts w:ascii="Liberation Serif" w:hAnsi="Liberation Serif" w:cs="Liberation Serif"/>
          <w:sz w:val="24"/>
          <w:szCs w:val="24"/>
        </w:rPr>
        <w:t xml:space="preserve">.</w:t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b/>
          <w:bCs/>
          <w:sz w:val="24"/>
          <w:szCs w:val="24"/>
        </w:rPr>
        <w:t xml:space="preserve">Прочие требования к поставке товаров</w:t>
      </w:r>
      <w:r>
        <w:rPr>
          <w:rFonts w:ascii="Liberation Serif" w:hAnsi="Liberation Serif" w:cs="Liberation Serif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П</w:t>
      </w:r>
      <w:r>
        <w:rPr>
          <w:rFonts w:ascii="Liberation Serif" w:hAnsi="Liberation Serif" w:cs="Liberation Serif" w:eastAsiaTheme="minorEastAsia"/>
          <w:sz w:val="24"/>
          <w:szCs w:val="24"/>
        </w:rPr>
        <w:t xml:space="preserve">оставляемый товар должен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 либо страно</w:t>
      </w:r>
      <w:r>
        <w:rPr>
          <w:rFonts w:ascii="Liberation Serif" w:hAnsi="Liberation Serif" w:cs="Liberation Serif" w:eastAsiaTheme="minorEastAsia"/>
          <w:sz w:val="24"/>
          <w:szCs w:val="24"/>
        </w:rPr>
        <w:t xml:space="preserve">й, через которую перемещается товар не является Украина (применяется в части перечня, утвержденного постановлением).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0"/>
          <w:numId w:val="6"/>
        </w:numPr>
        <w:jc w:val="center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sz w:val="24"/>
          <w:szCs w:val="24"/>
        </w:rPr>
        <w:t xml:space="preserve">ТРЕБОВАНИЯ К ПОРЯДКУ ФОРМИРОВАНИЯ КОММЕРЧЕСКОГО ПРЕДЛОЖЕНИЯ УЧАСТНИКА ЗАКУПКИ, ОБОСНОВАНИЮ ЦЕНЫ, РАСЧЕТОВ.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pStyle w:val="912"/>
        <w:ind w:left="540"/>
        <w:spacing w:after="0" w:line="240" w:lineRule="auto"/>
        <w:tabs>
          <w:tab w:val="left" w:pos="851" w:leader="none"/>
        </w:tabs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pStyle w:val="912"/>
        <w:numPr>
          <w:ilvl w:val="1"/>
          <w:numId w:val="30"/>
        </w:numPr>
        <w:ind w:left="0" w:firstLine="0"/>
        <w:jc w:val="both"/>
        <w:spacing w:after="0" w:line="240" w:lineRule="auto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Участник формирует свое коммерч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еское предложение по форме и в соответствии с инструкциями, указанными в Закупочной документации </w:t>
      </w:r>
      <w:r>
        <w:rPr>
          <w:rFonts w:ascii="Liberation Serif" w:hAnsi="Liberation Serif" w:cs="Liberation Serif"/>
          <w:bCs/>
          <w:sz w:val="24"/>
          <w:szCs w:val="24"/>
        </w:rPr>
      </w:r>
    </w:p>
    <w:p>
      <w:pPr>
        <w:pStyle w:val="912"/>
        <w:numPr>
          <w:ilvl w:val="1"/>
          <w:numId w:val="30"/>
        </w:numPr>
        <w:ind w:left="0" w:firstLine="0"/>
        <w:jc w:val="both"/>
        <w:spacing w:after="0" w:line="240" w:lineRule="auto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</w:rPr>
        <w:t xml:space="preserve">Оплата</w:t>
      </w:r>
      <w:r>
        <w:rPr>
          <w:rFonts w:ascii="Liberation Serif" w:hAnsi="Liberation Serif" w:eastAsia="Liberation Serif" w:cs="Liberation Serif"/>
          <w:bCs/>
          <w:sz w:val="24"/>
          <w:szCs w:val="24"/>
        </w:rPr>
        <w:t xml:space="preserve"> производится в форме безналичного расчета путем перечисления Покупателем денежных средств на расчетный счет Поставщика, в размере 100% от стоимости пос</w:t>
      </w:r>
      <w:r>
        <w:rPr>
          <w:rFonts w:ascii="Liberation Serif" w:hAnsi="Liberation Serif" w:eastAsia="Liberation Serif" w:cs="Liberation Serif"/>
          <w:bCs/>
          <w:sz w:val="24"/>
          <w:szCs w:val="24"/>
        </w:rPr>
        <w:t xml:space="preserve">тавленного товара на основании представленных оригинальных документов, предусмотренных в срок не более 7 рабочих дней с момента поставки товара Покупателю. Днем осуществления платежа считается дата списания денежных средств с корреспондентского счета банка</w:t>
      </w:r>
      <w:r>
        <w:rPr>
          <w:rFonts w:ascii="Liberation Serif" w:hAnsi="Liberation Serif" w:eastAsia="Liberation Serif" w:cs="Liberation Serif"/>
          <w:bCs/>
          <w:sz w:val="24"/>
          <w:szCs w:val="24"/>
        </w:rPr>
        <w:t xml:space="preserve">, обслуживающего Покупателя.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Полная информация требований по расчетам указана в проекте Договора, являющемся приложением к настоящей закупочной документации</w:t>
      </w:r>
      <w:r>
        <w:rPr>
          <w:rFonts w:ascii="Liberation Serif" w:hAnsi="Liberation Serif" w:cs="Liberation Serif"/>
          <w:bCs/>
          <w:sz w:val="24"/>
          <w:szCs w:val="24"/>
        </w:rPr>
      </w:r>
    </w:p>
    <w:p>
      <w:pPr>
        <w:pStyle w:val="912"/>
        <w:numPr>
          <w:ilvl w:val="0"/>
          <w:numId w:val="6"/>
        </w:numPr>
        <w:ind w:left="0" w:firstLine="709"/>
        <w:jc w:val="center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ТРЕБОВАНИЯ К УЧАСТНИКАМ ЗАКУПКИ 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pStyle w:val="912"/>
        <w:ind w:left="709"/>
        <w:jc w:val="both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pStyle w:val="912"/>
        <w:numPr>
          <w:ilvl w:val="1"/>
          <w:numId w:val="31"/>
        </w:numPr>
        <w:ind w:left="0" w:firstLine="0"/>
        <w:jc w:val="both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Требования о наличии аккредитации в Группе «Интер РАО»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Не требуется.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1"/>
          <w:numId w:val="31"/>
        </w:numPr>
        <w:ind w:left="0" w:firstLine="0"/>
        <w:jc w:val="both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sz w:val="24"/>
          <w:szCs w:val="24"/>
          <w:lang w:eastAsia="ru-RU"/>
        </w:rPr>
        <w:t xml:space="preserve">Требования о наличии сертифицированных систем менеджмента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pStyle w:val="912"/>
        <w:ind w:left="0"/>
        <w:jc w:val="both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Желательным требованием, будет являться преимуществом, если участник закупки предоставит в составе своей заявки копии действующих сертификатов, подтверждающих наличие у него системы ме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неджмента качества, действующей в соответствии с законодательными и нормативными актами РФ (ИСО 9001).</w:t>
      </w: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 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pStyle w:val="912"/>
        <w:ind w:left="0"/>
        <w:jc w:val="both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5.3     Требования к опыту поставки товаров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pStyle w:val="912"/>
        <w:ind w:left="0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Участник закупки должен подтвердить наличие у него опыта поставки товаров в количестве не менее 2(двух) испо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лненных договоров за последние 5 (пять) лет, предшествующих дате подачи заявки на участие в данной закупке</w:t>
      </w:r>
      <w:r>
        <w:rPr>
          <w:rFonts w:ascii="Liberation Serif" w:hAnsi="Liberation Serif" w:cs="Liberation Serif" w:eastAsiaTheme="minorEastAsia"/>
          <w:sz w:val="24"/>
          <w:szCs w:val="24"/>
        </w:rPr>
        <w:t xml:space="preserve">, 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справкой о перечне и годовых объемах выполнения аналогичных договоров</w:t>
      </w:r>
      <w:r>
        <w:rPr>
          <w:rFonts w:ascii="Liberation Serif" w:hAnsi="Liberation Serif" w:cs="Liberation Serif" w:eastAsiaTheme="minorEastAsia"/>
          <w:sz w:val="24"/>
          <w:szCs w:val="24"/>
        </w:rPr>
        <w:t xml:space="preserve"> по форме закупочной документации.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1"/>
          <w:numId w:val="41"/>
        </w:numPr>
        <w:ind w:left="567" w:hanging="567"/>
        <w:jc w:val="both"/>
        <w:spacing w:after="0" w:line="240" w:lineRule="auto"/>
        <w:shd w:val="clear" w:color="auto" w:fill="ffffff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Требования по подтверждению отношений с прои</w:t>
      </w: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зводителем товара  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/>
      <w:bookmarkStart w:id="14" w:name="_Hlk136601819"/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Участник закупки в составе своего предложения должен указать наименование производителя предлагаемой к поставке продукции и страну происхождения Товара. </w:t>
      </w:r>
      <w:bookmarkEnd w:id="14"/>
      <w:r/>
      <w:r>
        <w:rPr>
          <w:rFonts w:ascii="Liberation Serif" w:hAnsi="Liberation Serif" w:cs="Liberation Serif"/>
          <w:sz w:val="24"/>
          <w:szCs w:val="24"/>
        </w:rPr>
      </w:r>
    </w:p>
    <w:p>
      <w:pPr>
        <w:ind w:left="360"/>
        <w:jc w:val="both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0"/>
          <w:numId w:val="6"/>
        </w:numPr>
        <w:ind w:left="709" w:firstLine="1843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  </w:t>
      </w: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ПРИЛОЖЕНИЯ к ТЗ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12"/>
        <w:numPr>
          <w:ilvl w:val="1"/>
          <w:numId w:val="32"/>
        </w:numPr>
        <w:jc w:val="both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Приложение №1 – Спецификация;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pStyle w:val="912"/>
        <w:numPr>
          <w:ilvl w:val="1"/>
          <w:numId w:val="32"/>
        </w:numPr>
        <w:jc w:val="both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 Приложение №2 Опросный лист (Хар</w:t>
      </w:r>
      <w:r>
        <w:rPr>
          <w:rFonts w:ascii="Liberation Serif" w:hAnsi="Liberation Serif" w:cs="Liberation Serif" w:eastAsiaTheme="minorEastAsia"/>
          <w:b/>
          <w:sz w:val="24"/>
          <w:szCs w:val="24"/>
        </w:rPr>
        <w:t xml:space="preserve">актеристики товара).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spacing w:after="0" w:line="240" w:lineRule="auto"/>
        <w:tabs>
          <w:tab w:val="left" w:pos="6237" w:leader="none"/>
          <w:tab w:val="left" w:pos="8222" w:leader="none"/>
        </w:tabs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spacing w:after="0" w:line="240" w:lineRule="auto"/>
        <w:tabs>
          <w:tab w:val="left" w:pos="6237" w:leader="none"/>
          <w:tab w:val="left" w:pos="8222" w:leader="none"/>
        </w:tabs>
        <w:rPr>
          <w:rFonts w:ascii="Liberation Serif" w:hAnsi="Liberation Serif" w:cs="Liberation Serif"/>
          <w:sz w:val="24"/>
          <w:szCs w:val="24"/>
        </w:rPr>
        <w:sectPr>
          <w:footnotePr/>
          <w:endnotePr/>
          <w:type w:val="nextPage"/>
          <w:pgSz w:w="11906" w:h="16838" w:orient="portrait"/>
          <w:pgMar w:top="567" w:right="851" w:bottom="567" w:left="1134" w:header="709" w:footer="709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spacing w:after="0" w:line="240" w:lineRule="auto"/>
        <w:tabs>
          <w:tab w:val="left" w:pos="6237" w:leader="none"/>
          <w:tab w:val="left" w:pos="8222" w:leader="none"/>
        </w:tabs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jc w:val="right"/>
        <w:keepLines/>
        <w:keepNext/>
        <w:spacing w:after="0"/>
        <w:rPr>
          <w:rFonts w:ascii="Liberation Serif" w:hAnsi="Liberation Serif" w:cs="Liberation Serif"/>
          <w:bCs/>
          <w:sz w:val="24"/>
          <w:szCs w:val="24"/>
        </w:rPr>
        <w:outlineLvl w:val="0"/>
      </w:pPr>
      <w:r/>
      <w:bookmarkStart w:id="15" w:name="_Hlk139449142"/>
      <w:r>
        <w:rPr>
          <w:rFonts w:ascii="Liberation Serif" w:hAnsi="Liberation Serif" w:cs="Liberation Serif" w:eastAsiaTheme="majorEastAsia"/>
          <w:bCs/>
          <w:sz w:val="24"/>
          <w:szCs w:val="24"/>
        </w:rPr>
        <w:t xml:space="preserve">Приложение №2</w:t>
      </w:r>
      <w:r>
        <w:rPr>
          <w:rFonts w:ascii="Liberation Serif" w:hAnsi="Liberation Serif" w:cs="Liberation Serif"/>
          <w:bCs/>
          <w:sz w:val="24"/>
          <w:szCs w:val="24"/>
        </w:rPr>
      </w:r>
    </w:p>
    <w:p>
      <w:pPr>
        <w:jc w:val="right"/>
        <w:keepLines/>
        <w:keepNext/>
        <w:spacing w:after="0"/>
        <w:rPr>
          <w:rFonts w:ascii="Liberation Serif" w:hAnsi="Liberation Serif" w:cs="Liberation Serif"/>
          <w:bCs/>
          <w:sz w:val="24"/>
          <w:szCs w:val="24"/>
        </w:rPr>
        <w:outlineLvl w:val="0"/>
      </w:pPr>
      <w:r>
        <w:rPr>
          <w:rFonts w:ascii="Liberation Serif" w:hAnsi="Liberation Serif" w:cs="Liberation Serif" w:eastAsiaTheme="majorEastAsia"/>
          <w:bCs/>
          <w:sz w:val="24"/>
          <w:szCs w:val="24"/>
        </w:rPr>
        <w:t xml:space="preserve">к техническому заданию</w:t>
      </w:r>
      <w:r>
        <w:rPr>
          <w:rFonts w:ascii="Liberation Serif" w:hAnsi="Liberation Serif" w:cs="Liberation Serif"/>
          <w:bCs/>
          <w:sz w:val="24"/>
          <w:szCs w:val="24"/>
        </w:rPr>
      </w:r>
    </w:p>
    <w:p>
      <w:pPr>
        <w:jc w:val="center"/>
        <w:keepLines/>
        <w:keepNext/>
        <w:spacing w:after="0"/>
        <w:rPr>
          <w:rFonts w:ascii="Liberation Serif" w:hAnsi="Liberation Serif" w:cs="Liberation Serif"/>
          <w:b/>
          <w:sz w:val="24"/>
          <w:szCs w:val="24"/>
        </w:rPr>
        <w:outlineLvl w:val="0"/>
      </w:pPr>
      <w:r>
        <w:rPr>
          <w:rFonts w:ascii="Liberation Serif" w:hAnsi="Liberation Serif" w:eastAsia="Liberation Serif" w:cs="Liberation Serif"/>
          <w:b/>
          <w:sz w:val="24"/>
          <w:szCs w:val="24"/>
        </w:rPr>
        <w:t xml:space="preserve">Характеристики товара:</w:t>
      </w:r>
      <w:bookmarkEnd w:id="15"/>
      <w:r/>
      <w:r>
        <w:rPr>
          <w:rFonts w:ascii="Liberation Serif" w:hAnsi="Liberation Serif" w:cs="Liberation Serif"/>
          <w:b/>
          <w:sz w:val="24"/>
          <w:szCs w:val="24"/>
        </w:rPr>
      </w:r>
    </w:p>
    <w:tbl>
      <w:tblPr>
        <w:tblW w:w="10348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4849"/>
        <w:gridCol w:w="2948"/>
        <w:gridCol w:w="1985"/>
      </w:tblGrid>
      <w:tr>
        <w:tblPrEx/>
        <w:trPr>
          <w:jc w:val="center"/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№ п/п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Характеристики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Требование заказчика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Предложение участника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Автомобиль </w:t>
            </w: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Lada</w:t>
            </w: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Largus</w:t>
            </w: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 1.6 л (106 </w:t>
            </w: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л.с</w:t>
            </w: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.), 5МТ, 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4"/>
                <w:szCs w:val="24"/>
              </w:rPr>
              <w:t xml:space="preserve">Драйв </w:t>
            </w: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или эквивалент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Год выпуска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не ранее 2026 г.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Тип кузова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универсал.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1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Количество дверей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Не менее 5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1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Тип двигателя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Бензиновый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5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Привод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Передний привод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6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Блокировка задних дверей от открывания детьми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7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Дневные ходовые огни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8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Защита двигателя и подкапотного пространства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9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Иммобилайзер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Индикация 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незастегнутого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 ремня безопасности водителя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Крепления для детских сидений ISOFIX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Подголовники задних сидений (2 шт.)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Подушка безопасности водителя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14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Система экстренного оповещения ЭРА-ГЛОНАСС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15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Экологический класс Евро 5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16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Ботовой компьютер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17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Кондиционер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18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Цвета кузова</w:t>
            </w:r>
            <w:r>
              <w:rPr>
                <w:rFonts w:ascii="Liberation Serif" w:hAnsi="Liberation Serif" w:cs="Liberation Serif"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белый/серебристый/ярко-белый/светло-серебристый металлик/серебристо-серый металлик/серебристо-темно-серый металлик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19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Мощность двигателя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не менее 106 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л.с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Трансмиссия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не менее 5-ти ступенчатая, механическая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Регулируемая по высоте рулевая колонка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Центральный замок с дистанционным управлением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Электростеклоподьемники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 задних дверей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7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24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Электростеклоподьемники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 передних дверей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7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25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pStyle w:val="937"/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Мультимедийная система,</w:t>
            </w:r>
            <w:r/>
          </w:p>
          <w:p>
            <w:pPr>
              <w:pStyle w:val="937"/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радио, 2 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usb,Bluetooth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,</w:t>
            </w:r>
            <w:r/>
          </w:p>
          <w:p>
            <w:pPr>
              <w:pStyle w:val="937"/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функция громкой связи </w:t>
            </w:r>
            <w:r/>
          </w:p>
          <w:p>
            <w:pPr>
              <w:pStyle w:val="937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 динамика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7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26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Запасное полноразмерное колесо R15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7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27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Наружные зеркала с боковым указателем поворота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7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28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Колесные диски с шинами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 шт., не менее</w:t>
            </w: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  <w:lang w:val="en-US"/>
              </w:rPr>
              <w:t xml:space="preserve">R</w:t>
            </w: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15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29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Комплект ковров салона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Ковер в багажник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Сигнализация с автозапуском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Тонировка задней полусферы пленкой со 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свето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пропускаемостью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 не менее 5%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Зимняя резина на дисках, не менее 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lang w:val="en-US"/>
              </w:rPr>
              <w:t xml:space="preserve">R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15 – 4шт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1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34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Топливо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не менее 20 литров в топливном баке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1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35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Набор автомобилиста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1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36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Защита картера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1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37 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Поперечные 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рейлинги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1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38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Подушка безопасности</w:t>
            </w:r>
            <w:r/>
          </w:p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переднего пассажира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1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40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AXS Антиблокировочная система тормозов с электронным распределением</w:t>
            </w:r>
            <w:r/>
          </w:p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тормозных усилий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1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41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Центральный</w:t>
            </w:r>
            <w:r/>
          </w:p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подлокотник с боксом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1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42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Розетка 12В для водителя и пассажира переднего ряда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1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43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Розетка 12В для</w:t>
            </w:r>
            <w:r/>
          </w:p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пассажиров второго ряда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1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44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усилитель рулевого</w:t>
            </w:r>
            <w:r/>
          </w:p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управления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1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45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Сиденье водителя с</w:t>
            </w:r>
            <w:r/>
          </w:p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регулировкой по высоте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1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46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Подогрев передних</w:t>
            </w:r>
            <w:r/>
          </w:p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сидений 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1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47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Электропривод и обогрев</w:t>
            </w:r>
            <w:r/>
          </w:p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наружных зеркал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1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48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Обогрев ветрового стекла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1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49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Датчики парковки задние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7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50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Камера заднего вида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1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51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Датчики дождя и света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1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52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Круиз-контроль t</w:t>
            </w:r>
            <w:r/>
          </w:p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ограничителем скорости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</w:tr>
      <w:tr>
        <w:tblPrEx/>
        <w:trPr>
          <w:jc w:val="center"/>
          <w:trHeight w:val="51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53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Мультифункциональное</w:t>
            </w:r>
            <w:r/>
          </w:p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рулевое колесо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да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567" w:right="851" w:bottom="56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Symbol">
    <w:panose1 w:val="05010000000000000000"/>
  </w:font>
  <w:font w:name="Liberation Serif">
    <w:panose1 w:val="020206030504050203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NSimSun">
    <w:panose1 w:val="02000506000000020000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3"/>
      <w:numFmt w:val="decimal"/>
      <w:isLgl w:val="false"/>
      <w:suff w:val="tab"/>
      <w:lvlText w:val="3.41%2"/>
      <w:lvlJc w:val="left"/>
      <w:pPr>
        <w:ind w:left="716" w:hanging="432"/>
        <w:tabs>
          <w:tab w:val="num" w:pos="716" w:leader="none"/>
        </w:tabs>
      </w:pPr>
      <w:rPr>
        <w:rFonts w:hint="default"/>
        <w:b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6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4.%2."/>
      <w:lvlJc w:val="left"/>
      <w:pPr>
        <w:ind w:left="2912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2.%4."/>
      <w:lvlJc w:val="left"/>
      <w:pPr>
        <w:ind w:left="2880" w:hanging="360"/>
      </w:pPr>
      <w:rPr>
        <w:rFonts w:hint="default"/>
        <w:b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13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85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7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9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3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5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93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3.%4."/>
      <w:lvlJc w:val="left"/>
      <w:pPr>
        <w:ind w:left="8299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480" w:hanging="480"/>
      </w:pPr>
      <w:rPr>
        <w:rFonts w:hint="default" w:eastAsiaTheme="minorHAnsi"/>
        <w:b w:val="0"/>
      </w:rPr>
    </w:lvl>
    <w:lvl w:ilvl="1">
      <w:start w:val="4"/>
      <w:numFmt w:val="decimal"/>
      <w:isLgl w:val="false"/>
      <w:suff w:val="tab"/>
      <w:lvlText w:val="%1.%2"/>
      <w:lvlJc w:val="left"/>
      <w:pPr>
        <w:ind w:left="976" w:hanging="480"/>
      </w:pPr>
      <w:rPr>
        <w:rFonts w:hint="default" w:eastAsiaTheme="minorHAnsi"/>
        <w:b w:val="0"/>
      </w:rPr>
    </w:lvl>
    <w:lvl w:ilvl="2">
      <w:start w:val="2"/>
      <w:numFmt w:val="decimal"/>
      <w:isLgl w:val="false"/>
      <w:suff w:val="tab"/>
      <w:lvlText w:val="%1.%2.%3"/>
      <w:lvlJc w:val="left"/>
      <w:pPr>
        <w:ind w:left="1712" w:hanging="720"/>
      </w:pPr>
      <w:rPr>
        <w:rFonts w:hint="default" w:eastAsiaTheme="minorHAnsi"/>
        <w:b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208" w:hanging="720"/>
      </w:pPr>
      <w:rPr>
        <w:rFonts w:hint="default" w:eastAsiaTheme="minorHAnsi"/>
        <w:b w:val="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064" w:hanging="1080"/>
      </w:pPr>
      <w:rPr>
        <w:rFonts w:hint="default" w:eastAsiaTheme="minorHAnsi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560" w:hanging="1080"/>
      </w:pPr>
      <w:rPr>
        <w:rFonts w:hint="default" w:eastAsiaTheme="minorHAnsi"/>
        <w:b w:val="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416" w:hanging="1440"/>
      </w:pPr>
      <w:rPr>
        <w:rFonts w:hint="default" w:eastAsiaTheme="minorHAnsi"/>
        <w:b w:val="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912" w:hanging="1440"/>
      </w:pPr>
      <w:rPr>
        <w:rFonts w:hint="default" w:eastAsiaTheme="minorHAnsi"/>
        <w:b w:val="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5768" w:hanging="1800"/>
      </w:pPr>
      <w:rPr>
        <w:rFonts w:hint="default" w:eastAsiaTheme="minorHAnsi"/>
        <w:b w:val="0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eastAsiaTheme="minorHAnsi"/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 w:eastAsiaTheme="minorHAnsi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 w:eastAsiaTheme="minorHAnsi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 w:eastAsiaTheme="minorHAnsi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 w:eastAsiaTheme="minorHAnsi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 w:eastAsiaTheme="minorHAnsi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 w:eastAsiaTheme="minorHAnsi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 w:eastAsiaTheme="minorHAnsi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 w:eastAsiaTheme="minorHAnsi"/>
        <w:b w:val="0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)"/>
      <w:lvlJc w:val="left"/>
      <w:pPr>
        <w:ind w:left="5535" w:hanging="855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5760" w:hanging="360"/>
      </w:pPr>
      <w:rPr>
        <w:rFonts w:hint="default" w:ascii="Times New Roman" w:hAnsi="Times New Roman" w:eastAsia="Times New Roman"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2807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352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24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96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68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40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12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84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567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2.%1."/>
      <w:lvlJc w:val="left"/>
      <w:pPr>
        <w:ind w:left="927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0">
    <w:multiLevelType w:val="hybridMultilevel"/>
    <w:lvl w:ilvl="0">
      <w:start w:val="1"/>
      <w:numFmt w:val="decimal"/>
      <w:pStyle w:val="923"/>
      <w:isLgl w:val="false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924"/>
      <w:isLgl w:val="false"/>
      <w:suff w:val="space"/>
      <w:lvlText w:val="%1.%2."/>
      <w:lvlJc w:val="left"/>
      <w:pPr>
        <w:ind w:left="0" w:firstLine="0"/>
      </w:pPr>
    </w:lvl>
    <w:lvl w:ilvl="2">
      <w:start w:val="1"/>
      <w:numFmt w:val="decimal"/>
      <w:pStyle w:val="925"/>
      <w:isLgl w:val="false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926"/>
      <w:isLgl w:val="false"/>
      <w:suff w:val="space"/>
      <w:lvlText w:val="%1.%2.%3.%4"/>
      <w:lvlJc w:val="left"/>
      <w:pPr>
        <w:ind w:left="0" w:firstLine="0"/>
      </w:p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b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</w:lvl>
  </w:abstractNum>
  <w:abstractNum w:abstractNumId="21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480" w:hanging="480"/>
      </w:pPr>
      <w:rPr>
        <w:rFonts w:hint="default" w:eastAsiaTheme="minorHAnsi"/>
        <w:b w:val="0"/>
      </w:rPr>
    </w:lvl>
    <w:lvl w:ilvl="1">
      <w:start w:val="3"/>
      <w:numFmt w:val="decimal"/>
      <w:isLgl w:val="false"/>
      <w:suff w:val="tab"/>
      <w:lvlText w:val="%1.%2"/>
      <w:lvlJc w:val="left"/>
      <w:pPr>
        <w:ind w:left="763" w:hanging="480"/>
      </w:pPr>
      <w:rPr>
        <w:rFonts w:hint="default" w:eastAsiaTheme="minorHAnsi"/>
        <w:b w:val="0"/>
      </w:rPr>
    </w:lvl>
    <w:lvl w:ilvl="2">
      <w:start w:val="2"/>
      <w:numFmt w:val="decimal"/>
      <w:isLgl w:val="false"/>
      <w:suff w:val="tab"/>
      <w:lvlText w:val="%1.%2.%3"/>
      <w:lvlJc w:val="left"/>
      <w:pPr>
        <w:ind w:left="1286" w:hanging="720"/>
      </w:pPr>
      <w:rPr>
        <w:rFonts w:hint="default" w:eastAsiaTheme="minorHAnsi"/>
        <w:b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569" w:hanging="720"/>
      </w:pPr>
      <w:rPr>
        <w:rFonts w:hint="default" w:eastAsiaTheme="minorHAnsi"/>
        <w:b w:val="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212" w:hanging="1080"/>
      </w:pPr>
      <w:rPr>
        <w:rFonts w:hint="default" w:eastAsiaTheme="minorHAnsi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495" w:hanging="1080"/>
      </w:pPr>
      <w:rPr>
        <w:rFonts w:hint="default" w:eastAsiaTheme="minorHAnsi"/>
        <w:b w:val="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138" w:hanging="1440"/>
      </w:pPr>
      <w:rPr>
        <w:rFonts w:hint="default" w:eastAsiaTheme="minorHAnsi"/>
        <w:b w:val="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421" w:hanging="1440"/>
      </w:pPr>
      <w:rPr>
        <w:rFonts w:hint="default" w:eastAsiaTheme="minorHAnsi"/>
        <w:b w:val="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064" w:hanging="1800"/>
      </w:pPr>
      <w:rPr>
        <w:rFonts w:hint="default" w:eastAsiaTheme="minorHAnsi"/>
        <w:b w:val="0"/>
      </w:r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isLgl w:val="false"/>
      <w:suff w:val="tab"/>
      <w:lvlText w:val="%1.%2."/>
      <w:lvlJc w:val="left"/>
      <w:pPr>
        <w:ind w:left="4509" w:hanging="54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8658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627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6956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925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254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9223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-31984" w:hanging="1800"/>
      </w:pPr>
      <w:rPr>
        <w:rFonts w:hint="default"/>
        <w:b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1.%4."/>
      <w:lvlJc w:val="left"/>
      <w:pPr>
        <w:ind w:left="927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4.%4."/>
      <w:lvlJc w:val="left"/>
      <w:pPr>
        <w:ind w:left="9433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 w:eastAsiaTheme="minorHAnsi"/>
        <w:b/>
      </w:rPr>
    </w:lvl>
    <w:lvl w:ilvl="1">
      <w:start w:val="4"/>
      <w:numFmt w:val="decimal"/>
      <w:isLgl w:val="false"/>
      <w:suff w:val="tab"/>
      <w:lvlText w:val="%1.%2."/>
      <w:lvlJc w:val="left"/>
      <w:pPr>
        <w:ind w:left="894" w:hanging="540"/>
      </w:pPr>
      <w:rPr>
        <w:rFonts w:hint="default" w:eastAsiaTheme="minorHAnsi"/>
        <w:b w:val="0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571" w:hanging="720"/>
      </w:pPr>
      <w:rPr>
        <w:rFonts w:hint="default" w:eastAsiaTheme="minorHAnsi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 w:eastAsiaTheme="minorHAnsi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 w:eastAsiaTheme="minorHAnsi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 w:eastAsiaTheme="minorHAnsi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 w:eastAsiaTheme="minorHAnsi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 w:eastAsiaTheme="minorHAnsi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 w:eastAsiaTheme="minorHAnsi"/>
        <w:b w:val="0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6" w:hanging="360"/>
        <w:tabs>
          <w:tab w:val="num" w:pos="786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506" w:hanging="360"/>
        <w:tabs>
          <w:tab w:val="num" w:pos="1506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226" w:hanging="360"/>
        <w:tabs>
          <w:tab w:val="num" w:pos="2226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946" w:hanging="360"/>
        <w:tabs>
          <w:tab w:val="num" w:pos="2946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66" w:hanging="360"/>
        <w:tabs>
          <w:tab w:val="num" w:pos="3666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86" w:hanging="360"/>
        <w:tabs>
          <w:tab w:val="num" w:pos="4386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106" w:hanging="360"/>
        <w:tabs>
          <w:tab w:val="num" w:pos="5106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826" w:hanging="360"/>
        <w:tabs>
          <w:tab w:val="num" w:pos="5826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546" w:hanging="360"/>
        <w:tabs>
          <w:tab w:val="num" w:pos="6546" w:leader="none"/>
        </w:tabs>
      </w:pPr>
      <w:rPr>
        <w:rFonts w:hint="default" w:ascii="Wingdings" w:hAnsi="Wingdings"/>
        <w:sz w:val="20"/>
      </w:rPr>
    </w:lvl>
  </w:abstractNum>
  <w:abstractNum w:abstractNumId="29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480" w:hanging="480"/>
      </w:pPr>
      <w:rPr>
        <w:rFonts w:hint="default" w:eastAsiaTheme="minorHAnsi"/>
        <w:b w:val="0"/>
      </w:rPr>
    </w:lvl>
    <w:lvl w:ilvl="1">
      <w:start w:val="4"/>
      <w:numFmt w:val="decimal"/>
      <w:isLgl w:val="false"/>
      <w:suff w:val="tab"/>
      <w:lvlText w:val="%1.%2"/>
      <w:lvlJc w:val="left"/>
      <w:pPr>
        <w:ind w:left="763" w:hanging="480"/>
      </w:pPr>
      <w:rPr>
        <w:rFonts w:hint="default" w:eastAsiaTheme="minorHAnsi"/>
        <w:b w:val="0"/>
      </w:rPr>
    </w:lvl>
    <w:lvl w:ilvl="2">
      <w:start w:val="2"/>
      <w:numFmt w:val="decimal"/>
      <w:isLgl w:val="false"/>
      <w:suff w:val="tab"/>
      <w:lvlText w:val="%1.%2.%3"/>
      <w:lvlJc w:val="left"/>
      <w:pPr>
        <w:ind w:left="1286" w:hanging="720"/>
      </w:pPr>
      <w:rPr>
        <w:rFonts w:hint="default" w:eastAsiaTheme="minorHAnsi"/>
        <w:b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569" w:hanging="720"/>
      </w:pPr>
      <w:rPr>
        <w:rFonts w:hint="default" w:eastAsiaTheme="minorHAnsi"/>
        <w:b w:val="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212" w:hanging="1080"/>
      </w:pPr>
      <w:rPr>
        <w:rFonts w:hint="default" w:eastAsiaTheme="minorHAnsi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495" w:hanging="1080"/>
      </w:pPr>
      <w:rPr>
        <w:rFonts w:hint="default" w:eastAsiaTheme="minorHAnsi"/>
        <w:b w:val="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138" w:hanging="1440"/>
      </w:pPr>
      <w:rPr>
        <w:rFonts w:hint="default" w:eastAsiaTheme="minorHAnsi"/>
        <w:b w:val="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421" w:hanging="1440"/>
      </w:pPr>
      <w:rPr>
        <w:rFonts w:hint="default" w:eastAsiaTheme="minorHAnsi"/>
        <w:b w:val="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064" w:hanging="1800"/>
      </w:pPr>
      <w:rPr>
        <w:rFonts w:hint="default" w:eastAsiaTheme="minorHAnsi"/>
        <w:b w:val="0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4.%1"/>
      <w:lvlJc w:val="left"/>
      <w:pPr>
        <w:ind w:left="2147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86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58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30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02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74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46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18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907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isLgl w:val="false"/>
      <w:suff w:val="tab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576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828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1160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680" w:hanging="108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6560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9080" w:hanging="144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960" w:hanging="1800"/>
      </w:pPr>
      <w:rPr>
        <w:rFonts w:hint="default"/>
        <w:b w:val="0"/>
      </w:rPr>
    </w:lvl>
  </w:abstractNum>
  <w:abstractNum w:abstractNumId="3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 w:val="false"/>
      <w:suff w:val="tab"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6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60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180" w:hanging="108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80" w:hanging="144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160" w:hanging="1800"/>
      </w:pPr>
      <w:rPr>
        <w:rFonts w:hint="default"/>
        <w:b w:val="0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eastAsia="Times New Roman"/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 w:eastAsia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 w:eastAsia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 w:eastAsia="Times New Roman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 w:eastAsia="Times New Roman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 w:eastAsia="Times New Roman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 w:eastAsia="Times New Roman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 w:eastAsia="Times New Roman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 w:eastAsia="Times New Roman"/>
        <w:b w:val="0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89" w:hanging="360"/>
        <w:tabs>
          <w:tab w:val="num" w:pos="1789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536" w:hanging="360"/>
        <w:tabs>
          <w:tab w:val="num" w:pos="14536" w:leader="none"/>
        </w:tabs>
      </w:p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ind w:left="1070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3"/>
  </w:num>
  <w:num w:numId="3">
    <w:abstractNumId w:val="16"/>
  </w:num>
  <w:num w:numId="4">
    <w:abstractNumId w:val="39"/>
  </w:num>
  <w:num w:numId="5">
    <w:abstractNumId w:val="7"/>
  </w:num>
  <w:num w:numId="6">
    <w:abstractNumId w:val="23"/>
  </w:num>
  <w:num w:numId="7">
    <w:abstractNumId w:val="3"/>
  </w:num>
  <w:num w:numId="8">
    <w:abstractNumId w:val="6"/>
  </w:num>
  <w:num w:numId="9">
    <w:abstractNumId w:val="26"/>
  </w:num>
  <w:num w:numId="10">
    <w:abstractNumId w:val="0"/>
  </w:num>
  <w:num w:numId="11">
    <w:abstractNumId w:val="10"/>
  </w:num>
  <w:num w:numId="12">
    <w:abstractNumId w:val="12"/>
    <w:lvlOverride w:ilvl="0">
      <w:startOverride w:val="1"/>
    </w:lvlOverride>
  </w:num>
  <w:num w:numId="13">
    <w:abstractNumId w:val="38"/>
    <w:lvlOverride w:ilvl="1">
      <w:startOverride w:val="1"/>
    </w:lvlOverride>
  </w:num>
  <w:num w:numId="14">
    <w:abstractNumId w:val="15"/>
  </w:num>
  <w:num w:numId="15">
    <w:abstractNumId w:val="4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19"/>
  </w:num>
  <w:num w:numId="19">
    <w:abstractNumId w:val="28"/>
  </w:num>
  <w:num w:numId="20">
    <w:abstractNumId w:val="17"/>
  </w:num>
  <w:num w:numId="21">
    <w:abstractNumId w:val="36"/>
  </w:num>
  <w:num w:numId="22">
    <w:abstractNumId w:val="34"/>
  </w:num>
  <w:num w:numId="23">
    <w:abstractNumId w:val="38"/>
  </w:num>
  <w:num w:numId="24">
    <w:abstractNumId w:val="31"/>
  </w:num>
  <w:num w:numId="25">
    <w:abstractNumId w:val="33"/>
  </w:num>
  <w:num w:numId="26">
    <w:abstractNumId w:val="18"/>
  </w:num>
  <w:num w:numId="27">
    <w:abstractNumId w:val="11"/>
  </w:num>
  <w:num w:numId="28">
    <w:abstractNumId w:val="27"/>
  </w:num>
  <w:num w:numId="29">
    <w:abstractNumId w:val="2"/>
  </w:num>
  <w:num w:numId="30">
    <w:abstractNumId w:val="37"/>
  </w:num>
  <w:num w:numId="31">
    <w:abstractNumId w:val="14"/>
  </w:num>
  <w:num w:numId="32">
    <w:abstractNumId w:val="9"/>
  </w:num>
  <w:num w:numId="33">
    <w:abstractNumId w:val="21"/>
  </w:num>
  <w:num w:numId="34">
    <w:abstractNumId w:val="5"/>
  </w:num>
  <w:num w:numId="35">
    <w:abstractNumId w:val="29"/>
  </w:num>
  <w:num w:numId="36">
    <w:abstractNumId w:val="30"/>
  </w:num>
  <w:num w:numId="37">
    <w:abstractNumId w:val="1"/>
  </w:num>
  <w:num w:numId="38">
    <w:abstractNumId w:val="8"/>
  </w:num>
  <w:num w:numId="39">
    <w:abstractNumId w:val="22"/>
  </w:num>
  <w:num w:numId="40">
    <w:abstractNumId w:val="32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1 Char"/>
    <w:basedOn w:val="745"/>
    <w:link w:val="736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7">
    <w:name w:val="Heading 2 Char"/>
    <w:basedOn w:val="745"/>
    <w:link w:val="737"/>
    <w:uiPriority w:val="9"/>
    <w:rPr>
      <w:rFonts w:ascii="Liberation Sans" w:hAnsi="Liberation Sans" w:eastAsia="Liberation Sans" w:cs="Liberation Sans"/>
      <w:sz w:val="34"/>
    </w:rPr>
  </w:style>
  <w:style w:type="character" w:styleId="19">
    <w:name w:val="Heading 3 Char"/>
    <w:basedOn w:val="745"/>
    <w:link w:val="738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21">
    <w:name w:val="Heading 4 Char"/>
    <w:basedOn w:val="745"/>
    <w:link w:val="739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3">
    <w:name w:val="Heading 5 Char"/>
    <w:basedOn w:val="745"/>
    <w:link w:val="740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5">
    <w:name w:val="Heading 6 Char"/>
    <w:basedOn w:val="745"/>
    <w:link w:val="741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7">
    <w:name w:val="Heading 7 Char"/>
    <w:basedOn w:val="745"/>
    <w:link w:val="742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745"/>
    <w:link w:val="743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31">
    <w:name w:val="Heading 9 Char"/>
    <w:basedOn w:val="745"/>
    <w:link w:val="74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6">
    <w:name w:val="Title Char"/>
    <w:basedOn w:val="745"/>
    <w:link w:val="757"/>
    <w:uiPriority w:val="10"/>
    <w:rPr>
      <w:sz w:val="48"/>
      <w:szCs w:val="48"/>
    </w:rPr>
  </w:style>
  <w:style w:type="character" w:styleId="38">
    <w:name w:val="Subtitle Char"/>
    <w:basedOn w:val="745"/>
    <w:link w:val="759"/>
    <w:uiPriority w:val="11"/>
    <w:rPr>
      <w:sz w:val="24"/>
      <w:szCs w:val="24"/>
    </w:rPr>
  </w:style>
  <w:style w:type="character" w:styleId="40">
    <w:name w:val="Quote Char"/>
    <w:link w:val="761"/>
    <w:uiPriority w:val="29"/>
    <w:rPr>
      <w:i/>
    </w:rPr>
  </w:style>
  <w:style w:type="character" w:styleId="42">
    <w:name w:val="Intense Quote Char"/>
    <w:link w:val="763"/>
    <w:uiPriority w:val="30"/>
    <w:rPr>
      <w:i/>
    </w:rPr>
  </w:style>
  <w:style w:type="character" w:styleId="44">
    <w:name w:val="Header Char"/>
    <w:basedOn w:val="745"/>
    <w:link w:val="765"/>
    <w:uiPriority w:val="99"/>
  </w:style>
  <w:style w:type="character" w:styleId="48">
    <w:name w:val="Caption Char"/>
    <w:basedOn w:val="745"/>
    <w:link w:val="769"/>
    <w:uiPriority w:val="35"/>
    <w:rPr>
      <w:b/>
      <w:bCs/>
      <w:color w:val="4f81bd" w:themeColor="accent1"/>
      <w:sz w:val="18"/>
      <w:szCs w:val="18"/>
    </w:rPr>
  </w:style>
  <w:style w:type="character" w:styleId="177">
    <w:name w:val="Footnote Text Char"/>
    <w:link w:val="896"/>
    <w:uiPriority w:val="99"/>
    <w:rPr>
      <w:sz w:val="18"/>
    </w:rPr>
  </w:style>
  <w:style w:type="paragraph" w:styleId="735" w:default="1">
    <w:name w:val="Normal"/>
    <w:qFormat/>
  </w:style>
  <w:style w:type="paragraph" w:styleId="736">
    <w:name w:val="Heading 1"/>
    <w:basedOn w:val="735"/>
    <w:next w:val="735"/>
    <w:link w:val="748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37">
    <w:name w:val="Heading 2"/>
    <w:basedOn w:val="735"/>
    <w:next w:val="735"/>
    <w:link w:val="749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38">
    <w:name w:val="Heading 3"/>
    <w:basedOn w:val="735"/>
    <w:next w:val="735"/>
    <w:link w:val="750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39">
    <w:name w:val="Heading 4"/>
    <w:basedOn w:val="735"/>
    <w:next w:val="735"/>
    <w:link w:val="75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0">
    <w:name w:val="Heading 5"/>
    <w:basedOn w:val="735"/>
    <w:next w:val="735"/>
    <w:link w:val="75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41">
    <w:name w:val="Heading 6"/>
    <w:basedOn w:val="735"/>
    <w:next w:val="735"/>
    <w:link w:val="753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42">
    <w:name w:val="Heading 7"/>
    <w:basedOn w:val="735"/>
    <w:next w:val="735"/>
    <w:link w:val="754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43">
    <w:name w:val="Heading 8"/>
    <w:basedOn w:val="735"/>
    <w:next w:val="735"/>
    <w:link w:val="755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44">
    <w:name w:val="Heading 9"/>
    <w:basedOn w:val="735"/>
    <w:next w:val="735"/>
    <w:link w:val="756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5" w:default="1">
    <w:name w:val="Default Paragraph Font"/>
    <w:uiPriority w:val="1"/>
    <w:semiHidden/>
    <w:unhideWhenUsed/>
  </w:style>
  <w:style w:type="table" w:styleId="7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7" w:default="1">
    <w:name w:val="No List"/>
    <w:uiPriority w:val="99"/>
    <w:semiHidden/>
    <w:unhideWhenUsed/>
  </w:style>
  <w:style w:type="character" w:styleId="748" w:customStyle="1">
    <w:name w:val="Заголовок 1 Знак"/>
    <w:basedOn w:val="745"/>
    <w:link w:val="736"/>
    <w:uiPriority w:val="9"/>
    <w:rPr>
      <w:rFonts w:ascii="Arial" w:hAnsi="Arial" w:eastAsia="Arial" w:cs="Arial"/>
      <w:sz w:val="40"/>
      <w:szCs w:val="40"/>
    </w:rPr>
  </w:style>
  <w:style w:type="character" w:styleId="749" w:customStyle="1">
    <w:name w:val="Заголовок 2 Знак"/>
    <w:basedOn w:val="745"/>
    <w:link w:val="737"/>
    <w:uiPriority w:val="9"/>
    <w:rPr>
      <w:rFonts w:ascii="Arial" w:hAnsi="Arial" w:eastAsia="Arial" w:cs="Arial"/>
      <w:sz w:val="34"/>
    </w:rPr>
  </w:style>
  <w:style w:type="character" w:styleId="750" w:customStyle="1">
    <w:name w:val="Заголовок 3 Знак"/>
    <w:basedOn w:val="745"/>
    <w:link w:val="738"/>
    <w:uiPriority w:val="9"/>
    <w:rPr>
      <w:rFonts w:ascii="Arial" w:hAnsi="Arial" w:eastAsia="Arial" w:cs="Arial"/>
      <w:sz w:val="30"/>
      <w:szCs w:val="30"/>
    </w:rPr>
  </w:style>
  <w:style w:type="character" w:styleId="751" w:customStyle="1">
    <w:name w:val="Заголовок 4 Знак"/>
    <w:basedOn w:val="745"/>
    <w:link w:val="739"/>
    <w:uiPriority w:val="9"/>
    <w:rPr>
      <w:rFonts w:ascii="Arial" w:hAnsi="Arial" w:eastAsia="Arial" w:cs="Arial"/>
      <w:b/>
      <w:bCs/>
      <w:sz w:val="26"/>
      <w:szCs w:val="26"/>
    </w:rPr>
  </w:style>
  <w:style w:type="character" w:styleId="752" w:customStyle="1">
    <w:name w:val="Заголовок 5 Знак"/>
    <w:basedOn w:val="745"/>
    <w:link w:val="740"/>
    <w:uiPriority w:val="9"/>
    <w:rPr>
      <w:rFonts w:ascii="Arial" w:hAnsi="Arial" w:eastAsia="Arial" w:cs="Arial"/>
      <w:b/>
      <w:bCs/>
      <w:sz w:val="24"/>
      <w:szCs w:val="24"/>
    </w:rPr>
  </w:style>
  <w:style w:type="character" w:styleId="753" w:customStyle="1">
    <w:name w:val="Заголовок 6 Знак"/>
    <w:basedOn w:val="745"/>
    <w:link w:val="741"/>
    <w:uiPriority w:val="9"/>
    <w:rPr>
      <w:rFonts w:ascii="Arial" w:hAnsi="Arial" w:eastAsia="Arial" w:cs="Arial"/>
      <w:b/>
      <w:bCs/>
      <w:sz w:val="22"/>
      <w:szCs w:val="22"/>
    </w:rPr>
  </w:style>
  <w:style w:type="character" w:styleId="754" w:customStyle="1">
    <w:name w:val="Заголовок 7 Знак"/>
    <w:basedOn w:val="745"/>
    <w:link w:val="7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5" w:customStyle="1">
    <w:name w:val="Заголовок 8 Знак"/>
    <w:basedOn w:val="745"/>
    <w:link w:val="743"/>
    <w:uiPriority w:val="9"/>
    <w:rPr>
      <w:rFonts w:ascii="Arial" w:hAnsi="Arial" w:eastAsia="Arial" w:cs="Arial"/>
      <w:i/>
      <w:iCs/>
      <w:sz w:val="22"/>
      <w:szCs w:val="22"/>
    </w:rPr>
  </w:style>
  <w:style w:type="character" w:styleId="756" w:customStyle="1">
    <w:name w:val="Заголовок 9 Знак"/>
    <w:basedOn w:val="745"/>
    <w:link w:val="744"/>
    <w:uiPriority w:val="9"/>
    <w:rPr>
      <w:rFonts w:ascii="Arial" w:hAnsi="Arial" w:eastAsia="Arial" w:cs="Arial"/>
      <w:i/>
      <w:iCs/>
      <w:sz w:val="21"/>
      <w:szCs w:val="21"/>
    </w:rPr>
  </w:style>
  <w:style w:type="paragraph" w:styleId="757">
    <w:name w:val="Title"/>
    <w:basedOn w:val="735"/>
    <w:next w:val="735"/>
    <w:link w:val="758"/>
    <w:uiPriority w:val="10"/>
    <w:qFormat/>
    <w:pPr>
      <w:contextualSpacing/>
      <w:spacing w:before="300"/>
    </w:pPr>
    <w:rPr>
      <w:sz w:val="48"/>
      <w:szCs w:val="48"/>
    </w:rPr>
  </w:style>
  <w:style w:type="character" w:styleId="758" w:customStyle="1">
    <w:name w:val="Заголовок Знак"/>
    <w:basedOn w:val="745"/>
    <w:link w:val="757"/>
    <w:uiPriority w:val="10"/>
    <w:rPr>
      <w:sz w:val="48"/>
      <w:szCs w:val="48"/>
    </w:rPr>
  </w:style>
  <w:style w:type="paragraph" w:styleId="759">
    <w:name w:val="Subtitle"/>
    <w:basedOn w:val="735"/>
    <w:next w:val="735"/>
    <w:link w:val="760"/>
    <w:uiPriority w:val="11"/>
    <w:qFormat/>
    <w:pPr>
      <w:spacing w:before="200"/>
    </w:pPr>
    <w:rPr>
      <w:sz w:val="24"/>
      <w:szCs w:val="24"/>
    </w:rPr>
  </w:style>
  <w:style w:type="character" w:styleId="760" w:customStyle="1">
    <w:name w:val="Подзаголовок Знак"/>
    <w:basedOn w:val="745"/>
    <w:link w:val="759"/>
    <w:uiPriority w:val="11"/>
    <w:rPr>
      <w:sz w:val="24"/>
      <w:szCs w:val="24"/>
    </w:rPr>
  </w:style>
  <w:style w:type="paragraph" w:styleId="761">
    <w:name w:val="Quote"/>
    <w:basedOn w:val="735"/>
    <w:next w:val="735"/>
    <w:link w:val="762"/>
    <w:uiPriority w:val="29"/>
    <w:qFormat/>
    <w:pPr>
      <w:ind w:left="720" w:right="720"/>
    </w:pPr>
    <w:rPr>
      <w:i/>
    </w:rPr>
  </w:style>
  <w:style w:type="character" w:styleId="762" w:customStyle="1">
    <w:name w:val="Цитата 2 Знак"/>
    <w:link w:val="761"/>
    <w:uiPriority w:val="29"/>
    <w:rPr>
      <w:i/>
    </w:rPr>
  </w:style>
  <w:style w:type="paragraph" w:styleId="763">
    <w:name w:val="Intense Quote"/>
    <w:basedOn w:val="735"/>
    <w:next w:val="735"/>
    <w:link w:val="76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4" w:customStyle="1">
    <w:name w:val="Выделенная цитата Знак"/>
    <w:link w:val="763"/>
    <w:uiPriority w:val="30"/>
    <w:rPr>
      <w:i/>
    </w:rPr>
  </w:style>
  <w:style w:type="paragraph" w:styleId="765">
    <w:name w:val="Header"/>
    <w:basedOn w:val="735"/>
    <w:link w:val="76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6" w:customStyle="1">
    <w:name w:val="Верхний колонтитул Знак"/>
    <w:basedOn w:val="745"/>
    <w:link w:val="765"/>
    <w:uiPriority w:val="99"/>
  </w:style>
  <w:style w:type="paragraph" w:styleId="767">
    <w:name w:val="Footer"/>
    <w:basedOn w:val="73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8" w:customStyle="1">
    <w:name w:val="Footer Char"/>
    <w:basedOn w:val="745"/>
    <w:uiPriority w:val="99"/>
  </w:style>
  <w:style w:type="paragraph" w:styleId="769">
    <w:name w:val="Caption"/>
    <w:basedOn w:val="735"/>
    <w:next w:val="735"/>
    <w:link w:val="77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70" w:customStyle="1">
    <w:name w:val="Название объекта Знак"/>
    <w:link w:val="769"/>
    <w:uiPriority w:val="99"/>
  </w:style>
  <w:style w:type="table" w:styleId="771" w:customStyle="1">
    <w:name w:val="Table Grid Light"/>
    <w:basedOn w:val="74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2">
    <w:name w:val="Plain Table 1"/>
    <w:basedOn w:val="74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2"/>
    <w:basedOn w:val="74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4">
    <w:name w:val="Plain Table 3"/>
    <w:basedOn w:val="74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5">
    <w:name w:val="Plain Table 4"/>
    <w:basedOn w:val="74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Plain Table 5"/>
    <w:basedOn w:val="74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7">
    <w:name w:val="Grid Table 1 Light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1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2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3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4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5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6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2"/>
    <w:basedOn w:val="7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1"/>
    <w:basedOn w:val="7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2"/>
    <w:basedOn w:val="7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3"/>
    <w:basedOn w:val="7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4"/>
    <w:basedOn w:val="7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5"/>
    <w:basedOn w:val="7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6"/>
    <w:basedOn w:val="7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"/>
    <w:basedOn w:val="7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1"/>
    <w:basedOn w:val="7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2"/>
    <w:basedOn w:val="7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3"/>
    <w:basedOn w:val="7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4"/>
    <w:basedOn w:val="7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5"/>
    <w:basedOn w:val="7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6"/>
    <w:basedOn w:val="7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4"/>
    <w:basedOn w:val="746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9" w:customStyle="1">
    <w:name w:val="Grid Table 4 - Accent 1"/>
    <w:basedOn w:val="74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00" w:customStyle="1">
    <w:name w:val="Grid Table 4 - Accent 2"/>
    <w:basedOn w:val="746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01" w:customStyle="1">
    <w:name w:val="Grid Table 4 - Accent 3"/>
    <w:basedOn w:val="746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02" w:customStyle="1">
    <w:name w:val="Grid Table 4 - Accent 4"/>
    <w:basedOn w:val="746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03" w:customStyle="1">
    <w:name w:val="Grid Table 4 - Accent 5"/>
    <w:basedOn w:val="74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04" w:customStyle="1">
    <w:name w:val="Grid Table 4 - Accent 6"/>
    <w:basedOn w:val="74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5">
    <w:name w:val="Grid Table 5 Dark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- Accent 1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2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 - Accent 3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- Accent 4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5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 - Accent 6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12">
    <w:name w:val="Grid Table 6 Colorful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3" w:customStyle="1">
    <w:name w:val="Grid Table 6 Colorful - Accent 1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14" w:customStyle="1">
    <w:name w:val="Grid Table 6 Colorful - Accent 2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5" w:customStyle="1">
    <w:name w:val="Grid Table 6 Colorful - Accent 3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6" w:customStyle="1">
    <w:name w:val="Grid Table 6 Colorful - Accent 4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7" w:customStyle="1">
    <w:name w:val="Grid Table 6 Colorful - Accent 5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8" w:customStyle="1">
    <w:name w:val="Grid Table 6 Colorful - Accent 6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9">
    <w:name w:val="Grid Table 7 Colorful"/>
    <w:basedOn w:val="7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7 Colorful - Accent 1"/>
    <w:basedOn w:val="7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7 Colorful - Accent 2"/>
    <w:basedOn w:val="7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7 Colorful - Accent 3"/>
    <w:basedOn w:val="7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7 Colorful - Accent 4"/>
    <w:basedOn w:val="7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7 Colorful - Accent 5"/>
    <w:basedOn w:val="7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7 Colorful - Accent 6"/>
    <w:basedOn w:val="7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"/>
    <w:basedOn w:val="74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1"/>
    <w:basedOn w:val="74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2"/>
    <w:basedOn w:val="74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3"/>
    <w:basedOn w:val="74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4"/>
    <w:basedOn w:val="74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5"/>
    <w:basedOn w:val="74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6"/>
    <w:basedOn w:val="74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2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1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2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3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4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5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9" w:customStyle="1">
    <w:name w:val="List Table 2 - Accent 6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40">
    <w:name w:val="List Table 3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1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2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3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4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5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6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1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2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3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4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5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6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5 Dark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1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2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3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4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5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6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>
    <w:name w:val="List Table 6 Colorful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2" w:customStyle="1">
    <w:name w:val="List Table 6 Colorful - Accent 1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63" w:customStyle="1">
    <w:name w:val="List Table 6 Colorful - Accent 2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64" w:customStyle="1">
    <w:name w:val="List Table 6 Colorful - Accent 3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65" w:customStyle="1">
    <w:name w:val="List Table 6 Colorful - Accent 4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6" w:customStyle="1">
    <w:name w:val="List Table 6 Colorful - Accent 5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7" w:customStyle="1">
    <w:name w:val="List Table 6 Colorful - Accent 6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8">
    <w:name w:val="List Table 7 Colorful"/>
    <w:basedOn w:val="74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7 Colorful - Accent 1"/>
    <w:basedOn w:val="74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7 Colorful - Accent 2"/>
    <w:basedOn w:val="74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7 Colorful - Accent 3"/>
    <w:basedOn w:val="74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7 Colorful - Accent 4"/>
    <w:basedOn w:val="74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7 Colorful - Accent 5"/>
    <w:basedOn w:val="74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7 Colorful - Accent 6"/>
    <w:basedOn w:val="74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ned - Accent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6" w:customStyle="1">
    <w:name w:val="Lined - Accent 1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7" w:customStyle="1">
    <w:name w:val="Lined - Accent 2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8" w:customStyle="1">
    <w:name w:val="Lined - Accent 3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9" w:customStyle="1">
    <w:name w:val="Lined - Accent 4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0" w:customStyle="1">
    <w:name w:val="Lined - Accent 5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1" w:customStyle="1">
    <w:name w:val="Lined - Accent 6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2" w:customStyle="1">
    <w:name w:val="Bordered &amp; Lined - Accent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3" w:customStyle="1">
    <w:name w:val="Bordered &amp; Lined - Accent 1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4" w:customStyle="1">
    <w:name w:val="Bordered &amp; Lined - Accent 2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5" w:customStyle="1">
    <w:name w:val="Bordered &amp; Lined - Accent 3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6" w:customStyle="1">
    <w:name w:val="Bordered &amp; Lined - Accent 4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7" w:customStyle="1">
    <w:name w:val="Bordered &amp; Lined - Accent 5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8" w:customStyle="1">
    <w:name w:val="Bordered &amp; Lined - Accent 6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9" w:customStyle="1">
    <w:name w:val="Bordered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0" w:customStyle="1">
    <w:name w:val="Bordered - Accent 1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91" w:customStyle="1">
    <w:name w:val="Bordered - Accent 2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92" w:customStyle="1">
    <w:name w:val="Bordered - Accent 3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93" w:customStyle="1">
    <w:name w:val="Bordered - Accent 4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94" w:customStyle="1">
    <w:name w:val="Bordered - Accent 5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95" w:customStyle="1">
    <w:name w:val="Bordered - Accent 6"/>
    <w:basedOn w:val="7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96">
    <w:name w:val="footnote text"/>
    <w:basedOn w:val="735"/>
    <w:link w:val="897"/>
    <w:uiPriority w:val="99"/>
    <w:semiHidden/>
    <w:unhideWhenUsed/>
    <w:pPr>
      <w:spacing w:after="40" w:line="240" w:lineRule="auto"/>
    </w:pPr>
    <w:rPr>
      <w:sz w:val="18"/>
    </w:rPr>
  </w:style>
  <w:style w:type="character" w:styleId="897" w:customStyle="1">
    <w:name w:val="Текст сноски Знак"/>
    <w:link w:val="896"/>
    <w:uiPriority w:val="99"/>
    <w:rPr>
      <w:sz w:val="18"/>
    </w:rPr>
  </w:style>
  <w:style w:type="character" w:styleId="898">
    <w:name w:val="footnote reference"/>
    <w:basedOn w:val="745"/>
    <w:uiPriority w:val="99"/>
    <w:unhideWhenUsed/>
    <w:rPr>
      <w:vertAlign w:val="superscript"/>
    </w:rPr>
  </w:style>
  <w:style w:type="character" w:styleId="899" w:customStyle="1">
    <w:name w:val="Endnote Text Char"/>
    <w:uiPriority w:val="99"/>
    <w:rPr>
      <w:sz w:val="20"/>
    </w:rPr>
  </w:style>
  <w:style w:type="character" w:styleId="900">
    <w:name w:val="endnote reference"/>
    <w:basedOn w:val="745"/>
    <w:uiPriority w:val="99"/>
    <w:semiHidden/>
    <w:unhideWhenUsed/>
    <w:rPr>
      <w:vertAlign w:val="superscript"/>
    </w:rPr>
  </w:style>
  <w:style w:type="paragraph" w:styleId="901">
    <w:name w:val="toc 1"/>
    <w:basedOn w:val="735"/>
    <w:next w:val="735"/>
    <w:uiPriority w:val="39"/>
    <w:unhideWhenUsed/>
    <w:pPr>
      <w:spacing w:after="57"/>
    </w:pPr>
  </w:style>
  <w:style w:type="paragraph" w:styleId="902">
    <w:name w:val="toc 2"/>
    <w:basedOn w:val="735"/>
    <w:next w:val="735"/>
    <w:uiPriority w:val="39"/>
    <w:unhideWhenUsed/>
    <w:pPr>
      <w:ind w:left="283"/>
      <w:spacing w:after="57"/>
    </w:pPr>
  </w:style>
  <w:style w:type="paragraph" w:styleId="903">
    <w:name w:val="toc 3"/>
    <w:basedOn w:val="735"/>
    <w:next w:val="735"/>
    <w:uiPriority w:val="39"/>
    <w:unhideWhenUsed/>
    <w:pPr>
      <w:ind w:left="567"/>
      <w:spacing w:after="57"/>
    </w:pPr>
  </w:style>
  <w:style w:type="paragraph" w:styleId="904">
    <w:name w:val="toc 4"/>
    <w:basedOn w:val="735"/>
    <w:next w:val="735"/>
    <w:uiPriority w:val="39"/>
    <w:unhideWhenUsed/>
    <w:pPr>
      <w:ind w:left="850"/>
      <w:spacing w:after="57"/>
    </w:pPr>
  </w:style>
  <w:style w:type="paragraph" w:styleId="905">
    <w:name w:val="toc 5"/>
    <w:basedOn w:val="735"/>
    <w:next w:val="735"/>
    <w:uiPriority w:val="39"/>
    <w:unhideWhenUsed/>
    <w:pPr>
      <w:ind w:left="1134"/>
      <w:spacing w:after="57"/>
    </w:pPr>
  </w:style>
  <w:style w:type="paragraph" w:styleId="906">
    <w:name w:val="toc 6"/>
    <w:basedOn w:val="735"/>
    <w:next w:val="735"/>
    <w:uiPriority w:val="39"/>
    <w:unhideWhenUsed/>
    <w:pPr>
      <w:ind w:left="1417"/>
      <w:spacing w:after="57"/>
    </w:pPr>
  </w:style>
  <w:style w:type="paragraph" w:styleId="907">
    <w:name w:val="toc 7"/>
    <w:basedOn w:val="735"/>
    <w:next w:val="735"/>
    <w:uiPriority w:val="39"/>
    <w:unhideWhenUsed/>
    <w:pPr>
      <w:ind w:left="1701"/>
      <w:spacing w:after="57"/>
    </w:pPr>
  </w:style>
  <w:style w:type="paragraph" w:styleId="908">
    <w:name w:val="toc 8"/>
    <w:basedOn w:val="735"/>
    <w:next w:val="735"/>
    <w:uiPriority w:val="39"/>
    <w:unhideWhenUsed/>
    <w:pPr>
      <w:ind w:left="1984"/>
      <w:spacing w:after="57"/>
    </w:pPr>
  </w:style>
  <w:style w:type="paragraph" w:styleId="909">
    <w:name w:val="toc 9"/>
    <w:basedOn w:val="735"/>
    <w:next w:val="735"/>
    <w:uiPriority w:val="39"/>
    <w:unhideWhenUsed/>
    <w:pPr>
      <w:ind w:left="2268"/>
      <w:spacing w:after="57"/>
    </w:pPr>
  </w:style>
  <w:style w:type="paragraph" w:styleId="910">
    <w:name w:val="TOC Heading"/>
    <w:uiPriority w:val="39"/>
    <w:unhideWhenUsed/>
  </w:style>
  <w:style w:type="paragraph" w:styleId="911">
    <w:name w:val="table of figures"/>
    <w:basedOn w:val="735"/>
    <w:next w:val="735"/>
    <w:uiPriority w:val="99"/>
    <w:unhideWhenUsed/>
    <w:pPr>
      <w:spacing w:after="0"/>
    </w:pPr>
  </w:style>
  <w:style w:type="paragraph" w:styleId="912">
    <w:name w:val="List Paragraph"/>
    <w:basedOn w:val="735"/>
    <w:link w:val="913"/>
    <w:uiPriority w:val="34"/>
    <w:qFormat/>
    <w:pPr>
      <w:contextualSpacing/>
      <w:ind w:left="720"/>
    </w:pPr>
  </w:style>
  <w:style w:type="character" w:styleId="913" w:customStyle="1">
    <w:name w:val="Абзац списка Знак"/>
    <w:link w:val="912"/>
    <w:uiPriority w:val="34"/>
  </w:style>
  <w:style w:type="table" w:styleId="914">
    <w:name w:val="Table Grid"/>
    <w:basedOn w:val="746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5">
    <w:name w:val="Body Text Indent"/>
    <w:basedOn w:val="735"/>
    <w:link w:val="916"/>
    <w:pPr>
      <w:ind w:firstLine="540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16" w:customStyle="1">
    <w:name w:val="Основной текст с отступом Знак"/>
    <w:basedOn w:val="745"/>
    <w:link w:val="915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17">
    <w:name w:val="Hyperlink"/>
    <w:basedOn w:val="745"/>
    <w:uiPriority w:val="99"/>
    <w:rPr>
      <w:rFonts w:cs="Times New Roman"/>
      <w:color w:val="0067d5"/>
      <w:u w:val="single"/>
    </w:rPr>
  </w:style>
  <w:style w:type="paragraph" w:styleId="918">
    <w:name w:val="Normal (Web)"/>
    <w:basedOn w:val="735"/>
    <w:link w:val="919"/>
    <w:pPr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0"/>
      <w:lang w:eastAsia="ru-RU"/>
    </w:rPr>
  </w:style>
  <w:style w:type="character" w:styleId="919" w:customStyle="1">
    <w:name w:val="Обычный (веб) Знак"/>
    <w:link w:val="918"/>
    <w:rPr>
      <w:rFonts w:ascii="Times New Roman" w:hAnsi="Times New Roman" w:eastAsia="Calibri" w:cs="Times New Roman"/>
      <w:sz w:val="24"/>
      <w:szCs w:val="20"/>
      <w:lang w:eastAsia="ru-RU"/>
    </w:rPr>
  </w:style>
  <w:style w:type="table" w:styleId="920" w:customStyle="1">
    <w:name w:val="Сетка таблицы2"/>
    <w:basedOn w:val="746"/>
    <w:next w:val="914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21">
    <w:name w:val="endnote text"/>
    <w:basedOn w:val="735"/>
    <w:link w:val="922"/>
    <w:uiPriority w:val="99"/>
    <w:semiHidden/>
    <w:unhideWhenUsed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22" w:customStyle="1">
    <w:name w:val="Текст концевой сноски Знак"/>
    <w:basedOn w:val="745"/>
    <w:link w:val="921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23" w:customStyle="1">
    <w:name w:val="_ИРАО Заголовок 1"/>
    <w:basedOn w:val="735"/>
    <w:next w:val="735"/>
    <w:pPr>
      <w:numPr>
        <w:ilvl w:val="0"/>
        <w:numId w:val="16"/>
      </w:numPr>
      <w:jc w:val="both"/>
      <w:spacing w:before="240" w:after="240" w:line="240" w:lineRule="auto"/>
    </w:pPr>
    <w:rPr>
      <w:rFonts w:ascii="Arial" w:hAnsi="Arial" w:eastAsia="Times New Roman" w:cs="Times New Roman"/>
      <w:b/>
      <w:color w:val="000000"/>
      <w:sz w:val="24"/>
      <w:szCs w:val="20"/>
      <w:lang w:val="en-US"/>
    </w:rPr>
  </w:style>
  <w:style w:type="paragraph" w:styleId="924" w:customStyle="1">
    <w:name w:val="_ИРАО Заголовок 2"/>
    <w:basedOn w:val="735"/>
    <w:next w:val="735"/>
    <w:qFormat/>
    <w:pPr>
      <w:numPr>
        <w:ilvl w:val="1"/>
        <w:numId w:val="16"/>
      </w:numPr>
      <w:jc w:val="both"/>
      <w:spacing w:before="120" w:after="120" w:line="240" w:lineRule="auto"/>
    </w:pPr>
    <w:rPr>
      <w:rFonts w:ascii="Arial" w:hAnsi="Arial" w:eastAsia="Times New Roman" w:cs="Times New Roman"/>
      <w:color w:val="000000"/>
      <w:sz w:val="24"/>
      <w:szCs w:val="20"/>
      <w:lang w:val="en-US"/>
    </w:rPr>
  </w:style>
  <w:style w:type="paragraph" w:styleId="925" w:customStyle="1">
    <w:name w:val="_ИРАО Заголовок 3"/>
    <w:basedOn w:val="735"/>
    <w:next w:val="735"/>
    <w:qFormat/>
    <w:pPr>
      <w:numPr>
        <w:ilvl w:val="2"/>
        <w:numId w:val="16"/>
      </w:numPr>
      <w:jc w:val="both"/>
      <w:spacing w:before="120" w:after="120" w:line="240" w:lineRule="auto"/>
    </w:pPr>
    <w:rPr>
      <w:rFonts w:ascii="Arial" w:hAnsi="Arial" w:eastAsia="Times New Roman" w:cs="Times New Roman"/>
      <w:color w:val="000000"/>
      <w:sz w:val="24"/>
      <w:szCs w:val="20"/>
      <w:lang w:val="en-US"/>
    </w:rPr>
  </w:style>
  <w:style w:type="paragraph" w:styleId="926" w:customStyle="1">
    <w:name w:val="_ИРАО Заголовок 4"/>
    <w:basedOn w:val="735"/>
    <w:next w:val="735"/>
    <w:qFormat/>
    <w:pPr>
      <w:numPr>
        <w:ilvl w:val="3"/>
        <w:numId w:val="16"/>
      </w:numPr>
      <w:jc w:val="both"/>
      <w:spacing w:before="120" w:after="120" w:line="240" w:lineRule="auto"/>
      <w:shd w:val="clear" w:color="auto" w:fill="ffffff"/>
    </w:pPr>
    <w:rPr>
      <w:rFonts w:ascii="Arial" w:hAnsi="Arial" w:eastAsia="Times New Roman" w:cs="Times New Roman"/>
      <w:color w:val="000000"/>
      <w:sz w:val="24"/>
      <w:szCs w:val="20"/>
      <w:lang w:val="en-US"/>
    </w:rPr>
  </w:style>
  <w:style w:type="character" w:styleId="927">
    <w:name w:val="Strong"/>
    <w:qFormat/>
    <w:rPr>
      <w:b/>
      <w:bCs/>
    </w:rPr>
  </w:style>
  <w:style w:type="paragraph" w:styleId="928" w:customStyle="1">
    <w:name w:val="Содержимое таблицы"/>
    <w:basedOn w:val="735"/>
    <w:pPr>
      <w:spacing w:after="0" w:line="240" w:lineRule="auto"/>
      <w:suppressLineNumbers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929" w:customStyle="1">
    <w:name w:val="Заголовок таблицы"/>
    <w:basedOn w:val="928"/>
    <w:pPr>
      <w:jc w:val="center"/>
    </w:pPr>
    <w:rPr>
      <w:b/>
      <w:bCs/>
    </w:rPr>
  </w:style>
  <w:style w:type="character" w:styleId="930">
    <w:name w:val="annotation reference"/>
    <w:basedOn w:val="745"/>
    <w:uiPriority w:val="99"/>
    <w:semiHidden/>
    <w:unhideWhenUsed/>
    <w:rPr>
      <w:sz w:val="16"/>
      <w:szCs w:val="16"/>
    </w:rPr>
  </w:style>
  <w:style w:type="paragraph" w:styleId="931">
    <w:name w:val="annotation text"/>
    <w:basedOn w:val="735"/>
    <w:link w:val="932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32" w:customStyle="1">
    <w:name w:val="Текст примечания Знак"/>
    <w:basedOn w:val="745"/>
    <w:link w:val="931"/>
    <w:uiPriority w:val="99"/>
    <w:semiHidden/>
    <w:rPr>
      <w:sz w:val="20"/>
      <w:szCs w:val="20"/>
    </w:rPr>
  </w:style>
  <w:style w:type="paragraph" w:styleId="933">
    <w:name w:val="annotation subject"/>
    <w:basedOn w:val="931"/>
    <w:next w:val="931"/>
    <w:link w:val="934"/>
    <w:uiPriority w:val="99"/>
    <w:semiHidden/>
    <w:unhideWhenUsed/>
    <w:rPr>
      <w:b/>
      <w:bCs/>
    </w:rPr>
  </w:style>
  <w:style w:type="character" w:styleId="934" w:customStyle="1">
    <w:name w:val="Тема примечания Знак"/>
    <w:basedOn w:val="932"/>
    <w:link w:val="933"/>
    <w:uiPriority w:val="99"/>
    <w:semiHidden/>
    <w:rPr>
      <w:b/>
      <w:bCs/>
      <w:sz w:val="20"/>
      <w:szCs w:val="20"/>
    </w:rPr>
  </w:style>
  <w:style w:type="paragraph" w:styleId="935">
    <w:name w:val="Balloon Text"/>
    <w:basedOn w:val="735"/>
    <w:link w:val="93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36" w:customStyle="1">
    <w:name w:val="Текст выноски Знак"/>
    <w:basedOn w:val="745"/>
    <w:link w:val="935"/>
    <w:uiPriority w:val="99"/>
    <w:semiHidden/>
    <w:rPr>
      <w:rFonts w:ascii="Tahoma" w:hAnsi="Tahoma" w:cs="Tahoma"/>
      <w:sz w:val="16"/>
      <w:szCs w:val="16"/>
    </w:rPr>
  </w:style>
  <w:style w:type="paragraph" w:styleId="937">
    <w:name w:val="No Spacing"/>
    <w:uiPriority w:val="1"/>
    <w:qFormat/>
    <w:pPr>
      <w:spacing w:after="0" w:line="240" w:lineRule="auto"/>
    </w:pPr>
  </w:style>
  <w:style w:type="paragraph" w:styleId="938" w:customStyle="1">
    <w:name w:val="Standard"/>
    <w:qFormat/>
    <w:pPr>
      <w:spacing w:after="0" w:line="240" w:lineRule="auto"/>
    </w:pPr>
    <w:rPr>
      <w:rFonts w:ascii="Liberation Serif" w:hAnsi="Liberation Serif" w:eastAsia="NSimSun" w:cs="Arial"/>
      <w:sz w:val="24"/>
      <w:szCs w:val="24"/>
      <w:lang w:eastAsia="zh-CN" w:bidi="hi-IN"/>
    </w:rPr>
  </w:style>
  <w:style w:type="character" w:styleId="939" w:customStyle="1">
    <w:name w:val="Основной текст (2)_"/>
    <w:link w:val="940"/>
    <w:rPr>
      <w:b/>
      <w:bCs/>
      <w:sz w:val="23"/>
      <w:szCs w:val="23"/>
      <w:shd w:val="clear" w:color="auto" w:fill="ffffff"/>
    </w:rPr>
  </w:style>
  <w:style w:type="paragraph" w:styleId="940" w:customStyle="1">
    <w:name w:val="Основной текст (2)"/>
    <w:basedOn w:val="735"/>
    <w:link w:val="939"/>
    <w:pPr>
      <w:jc w:val="center"/>
      <w:spacing w:before="900" w:after="60" w:line="240" w:lineRule="atLeast"/>
      <w:shd w:val="clear" w:color="auto" w:fill="ffffff"/>
      <w:widowControl w:val="off"/>
    </w:pPr>
    <w:rPr>
      <w:b/>
      <w:bCs/>
      <w:sz w:val="23"/>
      <w:szCs w:val="23"/>
    </w:rPr>
  </w:style>
  <w:style w:type="paragraph" w:styleId="941" w:customStyle="1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BE073-8218-4EC3-ADD3-CDCA4D2FD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SMX</dc:creator>
  <cp:lastModifiedBy>kolomiets_ad</cp:lastModifiedBy>
  <cp:revision>4</cp:revision>
  <dcterms:created xsi:type="dcterms:W3CDTF">2026-05-20T08:20:00Z</dcterms:created>
  <dcterms:modified xsi:type="dcterms:W3CDTF">2026-05-21T04:04:18Z</dcterms:modified>
</cp:coreProperties>
</file>